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u w:val="single"/>
        </w:rPr>
        <w:t>赤道仪</w:t>
      </w:r>
      <w:r>
        <w:rPr>
          <w:rFonts w:hint="eastAsia" w:ascii="方正小标宋简体" w:hAnsi="宋体" w:eastAsia="方正小标宋简体"/>
          <w:b/>
          <w:sz w:val="52"/>
          <w:szCs w:val="60"/>
        </w:rPr>
        <w:t>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201</w:t>
      </w:r>
      <w:r>
        <w:rPr>
          <w:rFonts w:ascii="方正小标宋简体" w:hAnsi="宋体" w:eastAsia="方正小标宋简体"/>
          <w:b/>
          <w:sz w:val="32"/>
          <w:szCs w:val="32"/>
        </w:rPr>
        <w:t>9</w:t>
      </w:r>
      <w:r>
        <w:rPr>
          <w:rFonts w:hint="eastAsia" w:ascii="方正小标宋简体" w:hAnsi="宋体" w:eastAsia="方正小标宋简体"/>
          <w:b/>
          <w:sz w:val="32"/>
          <w:szCs w:val="32"/>
        </w:rPr>
        <w:t>年</w:t>
      </w:r>
      <w:r>
        <w:rPr>
          <w:rFonts w:ascii="方正小标宋简体" w:hAnsi="宋体" w:eastAsia="方正小标宋简体"/>
          <w:b/>
          <w:sz w:val="32"/>
          <w:szCs w:val="32"/>
        </w:rPr>
        <w:t>10</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1940"/>
      <w:bookmarkStart w:id="4" w:name="_Toc3735"/>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bookmarkStart w:id="5" w:name="OLE_LINK2"/>
      <w:bookmarkStart w:id="6" w:name="OLE_LINK1"/>
      <w:r>
        <w:rPr>
          <w:rFonts w:hint="eastAsia" w:ascii="宋体" w:hAnsi="宋体"/>
          <w:szCs w:val="21"/>
          <w:u w:val="single"/>
        </w:rPr>
        <w:t>赤道仪</w:t>
      </w:r>
      <w:bookmarkEnd w:id="5"/>
      <w:bookmarkEnd w:id="6"/>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w:t>
      </w:r>
      <w:r>
        <w:rPr>
          <w:rFonts w:hint="eastAsia" w:ascii="宋体" w:hAnsi="宋体"/>
          <w:szCs w:val="21"/>
          <w:u w:val="single"/>
        </w:rPr>
        <w:t>赤道仪</w:t>
      </w:r>
      <w:r>
        <w:rPr>
          <w:rFonts w:hint="eastAsia" w:ascii="宋体" w:hAnsi="宋体"/>
          <w:szCs w:val="21"/>
        </w:rPr>
        <w:t>采购项目</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2、采购编号：</w:t>
      </w:r>
      <w:r>
        <w:rPr>
          <w:rFonts w:hint="eastAsia" w:ascii="宋体" w:hAnsi="宋体"/>
          <w:szCs w:val="21"/>
          <w:highlight w:val="yellow"/>
        </w:rPr>
        <w:t>PMODM201</w:t>
      </w:r>
      <w:r>
        <w:rPr>
          <w:rFonts w:ascii="宋体" w:hAnsi="宋体"/>
          <w:szCs w:val="21"/>
          <w:highlight w:val="yellow"/>
        </w:rPr>
        <w:t>9</w:t>
      </w:r>
      <w:r>
        <w:rPr>
          <w:rFonts w:hint="eastAsia" w:ascii="宋体" w:hAnsi="宋体"/>
          <w:szCs w:val="21"/>
          <w:highlight w:val="yellow"/>
        </w:rPr>
        <w:t>001</w:t>
      </w:r>
      <w:r>
        <w:rPr>
          <w:rFonts w:hint="eastAsia" w:ascii="宋体" w:hAnsi="宋体"/>
          <w:szCs w:val="21"/>
          <w:highlight w:val="yellow"/>
          <w:lang w:val="en-US" w:eastAsia="zh-CN"/>
        </w:rPr>
        <w:t>7</w:t>
      </w:r>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hint="eastAsia" w:ascii="宋体" w:hAnsi="宋体" w:eastAsia="宋体"/>
          <w:szCs w:val="21"/>
          <w:lang w:eastAsia="zh-CN"/>
        </w:rPr>
      </w:pPr>
      <w:r>
        <w:rPr>
          <w:rFonts w:hint="eastAsia" w:ascii="宋体" w:hAnsi="宋体"/>
          <w:szCs w:val="21"/>
        </w:rPr>
        <w:t>5、限价金额：人民币</w:t>
      </w:r>
      <w:r>
        <w:rPr>
          <w:rFonts w:ascii="黑体" w:hAnsi="黑体"/>
          <w:b/>
          <w:sz w:val="24"/>
          <w:szCs w:val="24"/>
        </w:rPr>
        <w:t>80.4</w:t>
      </w:r>
      <w:r>
        <w:rPr>
          <w:rFonts w:hint="eastAsia" w:ascii="黑体" w:hAnsi="黑体"/>
          <w:sz w:val="24"/>
          <w:szCs w:val="24"/>
        </w:rPr>
        <w:t>万元人民币（捌拾万肆仟元人民币）</w:t>
      </w:r>
    </w:p>
    <w:p>
      <w:pPr>
        <w:spacing w:line="360" w:lineRule="auto"/>
        <w:ind w:firstLine="420" w:firstLineChars="200"/>
        <w:rPr>
          <w:rFonts w:ascii="宋体" w:hAnsi="宋体"/>
          <w:szCs w:val="21"/>
        </w:rPr>
      </w:pPr>
      <w:r>
        <w:rPr>
          <w:rFonts w:hint="eastAsia" w:ascii="宋体" w:hAnsi="宋体"/>
          <w:szCs w:val="21"/>
        </w:rPr>
        <w:t>6、采购内容：</w:t>
      </w:r>
      <w:r>
        <w:rPr>
          <w:rFonts w:hint="eastAsia" w:ascii="宋体" w:hAnsi="宋体"/>
          <w:szCs w:val="21"/>
          <w:u w:val="single"/>
        </w:rPr>
        <w:t>赤道仪  五台</w:t>
      </w:r>
    </w:p>
    <w:p>
      <w:pPr>
        <w:spacing w:line="360" w:lineRule="auto"/>
        <w:ind w:firstLine="420" w:firstLineChars="200"/>
        <w:rPr>
          <w:rFonts w:ascii="宋体" w:hAnsi="宋体"/>
          <w:szCs w:val="21"/>
        </w:rPr>
      </w:pPr>
      <w:r>
        <w:rPr>
          <w:rFonts w:hint="eastAsia" w:ascii="宋体" w:hAnsi="宋体"/>
          <w:szCs w:val="21"/>
        </w:rPr>
        <w:t>7、供货周期：自签订合同后</w:t>
      </w:r>
      <w:r>
        <w:rPr>
          <w:rFonts w:hint="eastAsia" w:ascii="宋体" w:hAnsi="宋体"/>
          <w:b/>
          <w:szCs w:val="21"/>
        </w:rPr>
        <w:t>六个月</w:t>
      </w:r>
      <w:r>
        <w:rPr>
          <w:rFonts w:hint="eastAsia" w:ascii="宋体" w:hAnsi="宋体"/>
          <w:szCs w:val="21"/>
        </w:rPr>
        <w:t>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pStyle w:val="104"/>
        <w:numPr>
          <w:ilvl w:val="0"/>
          <w:numId w:val="1"/>
        </w:numPr>
        <w:spacing w:line="360" w:lineRule="auto"/>
        <w:ind w:firstLineChars="0"/>
        <w:rPr>
          <w:rFonts w:ascii="宋体" w:hAnsi="宋体"/>
        </w:rPr>
      </w:pPr>
      <w:r>
        <w:rPr>
          <w:rFonts w:hint="eastAsia" w:ascii="宋体" w:hAnsi="宋体"/>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hint="eastAsia" w:ascii="宋体" w:hAnsi="宋体" w:eastAsia="宋体"/>
          <w:szCs w:val="21"/>
          <w:lang w:eastAsia="zh-CN"/>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szCs w:val="21"/>
        </w:rPr>
      </w:pPr>
      <w:r>
        <w:rPr>
          <w:rFonts w:hint="eastAsia" w:ascii="宋体" w:hAnsi="宋体"/>
          <w:bCs/>
          <w:szCs w:val="21"/>
        </w:rPr>
        <w:t>9、答疑时间：201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w:t>
      </w:r>
      <w:r>
        <w:rPr>
          <w:rFonts w:ascii="宋体" w:hAnsi="宋体"/>
          <w:bCs/>
          <w:szCs w:val="21"/>
        </w:rPr>
        <w:t>11</w:t>
      </w:r>
      <w:r>
        <w:rPr>
          <w:rFonts w:hint="eastAsia" w:ascii="宋体" w:hAnsi="宋体"/>
          <w:bCs/>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联系人：平一鼎   电话：</w:t>
      </w:r>
      <w:r>
        <w:rPr>
          <w:rFonts w:ascii="宋体" w:hAnsi="宋体"/>
          <w:bCs/>
          <w:szCs w:val="21"/>
        </w:rPr>
        <w:t>17326102135</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月9日9：00（北京时间）。</w:t>
      </w:r>
    </w:p>
    <w:p>
      <w:pPr>
        <w:spacing w:line="360" w:lineRule="auto"/>
        <w:ind w:firstLine="420" w:firstLineChars="200"/>
        <w:rPr>
          <w:rFonts w:ascii="宋体" w:hAnsi="宋体"/>
          <w:bCs/>
          <w:szCs w:val="21"/>
        </w:rPr>
      </w:pPr>
      <w:r>
        <w:rPr>
          <w:rFonts w:hint="eastAsia" w:ascii="宋体" w:hAnsi="宋体"/>
          <w:bCs/>
          <w:szCs w:val="21"/>
        </w:rPr>
        <w:t>12、响应文件递交截止时间暨开启时间：201</w:t>
      </w:r>
      <w:r>
        <w:rPr>
          <w:rFonts w:hint="eastAsia" w:ascii="宋体" w:hAnsi="宋体"/>
          <w:bCs/>
          <w:szCs w:val="21"/>
          <w:lang w:val="en-US" w:eastAsia="zh-CN"/>
        </w:rPr>
        <w:t>9年</w:t>
      </w:r>
      <w:r>
        <w:rPr>
          <w:rFonts w:ascii="宋体" w:hAnsi="宋体"/>
          <w:bCs/>
          <w:szCs w:val="21"/>
        </w:rPr>
        <w:t>10</w:t>
      </w:r>
      <w:r>
        <w:rPr>
          <w:rFonts w:hint="eastAsia" w:ascii="宋体" w:hAnsi="宋体"/>
          <w:bCs/>
          <w:szCs w:val="21"/>
        </w:rPr>
        <w:t>月14 日</w:t>
      </w:r>
      <w:r>
        <w:rPr>
          <w:rFonts w:ascii="宋体" w:hAnsi="宋体"/>
          <w:bCs/>
          <w:szCs w:val="21"/>
        </w:rPr>
        <w:t>14</w:t>
      </w:r>
      <w:r>
        <w:rPr>
          <w:rFonts w:hint="eastAsia" w:ascii="宋体" w:hAnsi="宋体"/>
          <w:bCs/>
          <w:szCs w:val="21"/>
        </w:rPr>
        <w:t>：00（北京时间）。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line="360" w:lineRule="auto"/>
        <w:ind w:firstLine="420" w:firstLineChars="200"/>
        <w:rPr>
          <w:rFonts w:ascii="宋体" w:hAnsi="宋体"/>
          <w:szCs w:val="21"/>
        </w:rPr>
      </w:pPr>
      <w:r>
        <w:rPr>
          <w:rFonts w:hint="eastAsia" w:ascii="宋体" w:hAnsi="宋体"/>
          <w:szCs w:val="21"/>
        </w:rPr>
        <w:t>15、凡对本次采购提出询问，请按以下联系方式联系。</w:t>
      </w:r>
    </w:p>
    <w:p>
      <w:pPr>
        <w:spacing w:line="360" w:lineRule="auto"/>
        <w:ind w:firstLine="420" w:firstLineChars="200"/>
        <w:rPr>
          <w:rFonts w:ascii="宋体" w:hAnsi="宋体"/>
          <w:szCs w:val="21"/>
        </w:rPr>
      </w:pPr>
      <w:r>
        <w:rPr>
          <w:rFonts w:hint="eastAsia" w:ascii="宋体" w:hAnsi="宋体"/>
          <w:szCs w:val="21"/>
        </w:rPr>
        <w:t>单位名称：中国科学院紫金山天文台</w:t>
      </w:r>
    </w:p>
    <w:p>
      <w:pPr>
        <w:spacing w:line="360" w:lineRule="auto"/>
        <w:ind w:firstLine="420" w:firstLineChars="200"/>
        <w:rPr>
          <w:rFonts w:ascii="宋体" w:hAnsi="宋体"/>
          <w:szCs w:val="21"/>
        </w:rPr>
      </w:pPr>
      <w:r>
        <w:rPr>
          <w:rFonts w:hint="eastAsia" w:ascii="宋体" w:hAnsi="宋体"/>
          <w:szCs w:val="21"/>
        </w:rPr>
        <w:t>地    址：南京市元化路</w:t>
      </w:r>
      <w:r>
        <w:rPr>
          <w:rFonts w:ascii="宋体" w:hAnsi="宋体"/>
          <w:szCs w:val="21"/>
        </w:rPr>
        <w:t>10</w:t>
      </w:r>
      <w:r>
        <w:rPr>
          <w:rFonts w:hint="eastAsia" w:ascii="宋体" w:hAnsi="宋体"/>
          <w:szCs w:val="21"/>
        </w:rPr>
        <w:t>号</w:t>
      </w:r>
    </w:p>
    <w:p>
      <w:pPr>
        <w:spacing w:line="360" w:lineRule="auto"/>
        <w:ind w:firstLine="420" w:firstLineChars="200"/>
        <w:rPr>
          <w:rFonts w:ascii="宋体" w:hAnsi="宋体"/>
          <w:szCs w:val="21"/>
          <w:u w:val="single"/>
        </w:rPr>
      </w:pPr>
      <w:r>
        <w:rPr>
          <w:rFonts w:hint="eastAsia" w:ascii="宋体" w:hAnsi="宋体"/>
          <w:szCs w:val="21"/>
        </w:rPr>
        <w:t>邮    编：210034</w:t>
      </w:r>
    </w:p>
    <w:p>
      <w:pPr>
        <w:spacing w:line="360" w:lineRule="auto"/>
        <w:ind w:firstLine="420" w:firstLineChars="200"/>
        <w:rPr>
          <w:rFonts w:ascii="宋体" w:hAnsi="宋体"/>
          <w:szCs w:val="21"/>
        </w:rPr>
      </w:pPr>
      <w:r>
        <w:rPr>
          <w:rFonts w:hint="eastAsia" w:ascii="宋体" w:hAnsi="宋体"/>
          <w:szCs w:val="21"/>
        </w:rPr>
        <w:t>电    话：025-83332</w:t>
      </w:r>
      <w:r>
        <w:rPr>
          <w:rFonts w:ascii="宋体" w:hAnsi="宋体"/>
          <w:szCs w:val="21"/>
        </w:rPr>
        <w:t>250</w:t>
      </w:r>
    </w:p>
    <w:p>
      <w:pPr>
        <w:spacing w:line="360" w:lineRule="auto"/>
        <w:ind w:firstLine="420" w:firstLineChars="200"/>
        <w:rPr>
          <w:rFonts w:ascii="宋体" w:hAnsi="宋体"/>
          <w:szCs w:val="21"/>
          <w:u w:val="single"/>
        </w:rPr>
      </w:pPr>
      <w:r>
        <w:rPr>
          <w:rFonts w:hint="eastAsia" w:ascii="宋体" w:hAnsi="宋体"/>
          <w:szCs w:val="21"/>
        </w:rPr>
        <w:t>传    真：025-83332</w:t>
      </w:r>
      <w:r>
        <w:rPr>
          <w:rFonts w:ascii="宋体" w:hAnsi="宋体"/>
          <w:szCs w:val="21"/>
        </w:rPr>
        <w:t>250</w:t>
      </w:r>
    </w:p>
    <w:p>
      <w:pPr>
        <w:spacing w:line="360" w:lineRule="auto"/>
        <w:ind w:firstLine="420" w:firstLineChars="200"/>
        <w:rPr>
          <w:rFonts w:ascii="宋体" w:hAnsi="宋体"/>
          <w:szCs w:val="21"/>
        </w:rPr>
      </w:pPr>
      <w:r>
        <w:rPr>
          <w:rFonts w:hint="eastAsia" w:ascii="宋体" w:hAnsi="宋体"/>
          <w:szCs w:val="21"/>
        </w:rPr>
        <w:t>手    机：1</w:t>
      </w:r>
      <w:r>
        <w:rPr>
          <w:rFonts w:ascii="宋体" w:hAnsi="宋体"/>
          <w:szCs w:val="21"/>
        </w:rPr>
        <w:t>7326102135</w:t>
      </w:r>
    </w:p>
    <w:p>
      <w:pPr>
        <w:spacing w:line="360" w:lineRule="auto"/>
        <w:ind w:firstLine="420" w:firstLineChars="200"/>
        <w:rPr>
          <w:rFonts w:ascii="微软雅黑" w:hAnsi="微软雅黑" w:eastAsia="微软雅黑"/>
          <w:color w:val="7F7F7F"/>
          <w:sz w:val="20"/>
          <w:shd w:val="clear" w:color="auto" w:fill="F1F6F5"/>
        </w:rPr>
      </w:pPr>
      <w:r>
        <w:rPr>
          <w:rFonts w:hint="eastAsia" w:ascii="宋体" w:hAnsi="宋体"/>
          <w:szCs w:val="21"/>
        </w:rPr>
        <w:t>电子信箱：ydping@pmo.ac.cn</w:t>
      </w:r>
    </w:p>
    <w:p>
      <w:pPr>
        <w:spacing w:line="360" w:lineRule="auto"/>
        <w:ind w:firstLine="420" w:firstLineChars="200"/>
        <w:rPr>
          <w:rFonts w:ascii="宋体" w:hAnsi="宋体"/>
          <w:szCs w:val="21"/>
          <w:u w:val="single"/>
        </w:rPr>
      </w:pPr>
      <w:r>
        <w:rPr>
          <w:rFonts w:hint="eastAsia" w:ascii="宋体" w:hAnsi="宋体"/>
          <w:szCs w:val="21"/>
        </w:rPr>
        <w:t>联 系 人：平一鼎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p>
    <w:p>
      <w:pPr>
        <w:rPr>
          <w:rFonts w:ascii="宋体" w:hAnsi="宋体"/>
          <w:szCs w:val="21"/>
        </w:rPr>
      </w:pPr>
    </w:p>
    <w:p>
      <w:pPr>
        <w:spacing w:before="163" w:beforeLines="50" w:after="163" w:afterLines="50" w:line="360" w:lineRule="exact"/>
        <w:outlineLvl w:val="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7" w:name="_Toc435523631"/>
      <w:r>
        <w:rPr>
          <w:rFonts w:hint="eastAsia" w:ascii="宋体" w:hAnsi="宋体"/>
          <w:sz w:val="21"/>
          <w:szCs w:val="21"/>
        </w:rPr>
        <w:t>第二部分 供应商须知</w:t>
      </w:r>
      <w:bookmarkEnd w:id="3"/>
      <w:bookmarkEnd w:id="4"/>
      <w:bookmarkEnd w:id="7"/>
    </w:p>
    <w:p>
      <w:pPr>
        <w:pStyle w:val="3"/>
        <w:rPr>
          <w:rFonts w:ascii="宋体" w:hAnsi="宋体"/>
          <w:sz w:val="21"/>
          <w:szCs w:val="21"/>
        </w:rPr>
      </w:pPr>
      <w:bookmarkStart w:id="8" w:name="_Toc421826393"/>
      <w:bookmarkStart w:id="9" w:name="_Toc435523632"/>
      <w:r>
        <w:rPr>
          <w:rFonts w:hint="eastAsia" w:ascii="宋体" w:hAnsi="宋体"/>
          <w:sz w:val="21"/>
          <w:szCs w:val="21"/>
        </w:rPr>
        <w:t>一、供应商资格</w:t>
      </w:r>
      <w:bookmarkEnd w:id="8"/>
      <w:bookmarkEnd w:id="9"/>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5.品牌代理资格。</w:t>
      </w:r>
    </w:p>
    <w:p>
      <w:pPr>
        <w:pStyle w:val="3"/>
        <w:rPr>
          <w:rFonts w:ascii="宋体" w:hAnsi="宋体"/>
          <w:sz w:val="21"/>
          <w:szCs w:val="21"/>
        </w:rPr>
      </w:pPr>
      <w:bookmarkStart w:id="10" w:name="_Toc435523633"/>
      <w:bookmarkStart w:id="11" w:name="_Toc26328"/>
      <w:bookmarkStart w:id="12" w:name="_Toc18086"/>
      <w:bookmarkStart w:id="13" w:name="_Toc421826394"/>
      <w:r>
        <w:rPr>
          <w:rFonts w:hint="eastAsia" w:ascii="宋体" w:hAnsi="宋体"/>
          <w:sz w:val="21"/>
          <w:szCs w:val="21"/>
        </w:rPr>
        <w:t>二、委托</w:t>
      </w:r>
      <w:bookmarkEnd w:id="10"/>
      <w:bookmarkEnd w:id="11"/>
      <w:bookmarkEnd w:id="12"/>
      <w:bookmarkEnd w:id="13"/>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4" w:name="_Toc435523634"/>
      <w:bookmarkStart w:id="15" w:name="_Toc421826395"/>
      <w:bookmarkStart w:id="16" w:name="_Toc20397"/>
      <w:bookmarkStart w:id="17" w:name="_Toc25903"/>
      <w:r>
        <w:rPr>
          <w:rFonts w:hint="eastAsia" w:ascii="宋体" w:hAnsi="宋体"/>
          <w:sz w:val="21"/>
          <w:szCs w:val="21"/>
        </w:rPr>
        <w:t>三、竞争性谈判费用</w:t>
      </w:r>
      <w:bookmarkEnd w:id="14"/>
      <w:bookmarkEnd w:id="15"/>
      <w:bookmarkEnd w:id="16"/>
      <w:bookmarkEnd w:id="17"/>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8" w:name="_Toc24732"/>
      <w:bookmarkStart w:id="19" w:name="_Toc421826396"/>
      <w:bookmarkStart w:id="20" w:name="_Toc435523635"/>
      <w:bookmarkStart w:id="21" w:name="_Toc10017"/>
      <w:r>
        <w:rPr>
          <w:rFonts w:hint="eastAsia" w:ascii="宋体" w:hAnsi="宋体"/>
          <w:sz w:val="21"/>
          <w:szCs w:val="21"/>
        </w:rPr>
        <w:t>四、采购原则</w:t>
      </w:r>
      <w:bookmarkEnd w:id="18"/>
      <w:bookmarkEnd w:id="19"/>
      <w:bookmarkEnd w:id="20"/>
      <w:bookmarkEnd w:id="21"/>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2" w:name="_Toc46134451"/>
      <w:bookmarkStart w:id="23" w:name="_Toc1155"/>
      <w:bookmarkStart w:id="24" w:name="_Toc421826397"/>
      <w:bookmarkStart w:id="25" w:name="_Toc435523636"/>
      <w:bookmarkStart w:id="26" w:name="_Toc46201963"/>
      <w:bookmarkStart w:id="27" w:name="_Toc46227093"/>
      <w:bookmarkStart w:id="28" w:name="_Toc4668"/>
      <w:r>
        <w:rPr>
          <w:rFonts w:hint="eastAsia" w:ascii="宋体" w:hAnsi="宋体"/>
          <w:sz w:val="21"/>
          <w:szCs w:val="21"/>
        </w:rPr>
        <w:t>五、响应文件的基本要求</w:t>
      </w:r>
      <w:bookmarkEnd w:id="22"/>
      <w:bookmarkEnd w:id="23"/>
      <w:bookmarkEnd w:id="24"/>
      <w:bookmarkEnd w:id="25"/>
      <w:bookmarkEnd w:id="26"/>
      <w:bookmarkEnd w:id="27"/>
      <w:bookmarkEnd w:id="28"/>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4.响应文件中的报价一律用人民币、欧元或美元填报，汇率以开标当天基准价换算。</w:t>
      </w:r>
    </w:p>
    <w:p>
      <w:pPr>
        <w:pStyle w:val="3"/>
        <w:rPr>
          <w:rFonts w:ascii="宋体" w:hAnsi="宋体"/>
          <w:sz w:val="21"/>
          <w:szCs w:val="21"/>
        </w:rPr>
      </w:pPr>
      <w:bookmarkStart w:id="29" w:name="_Toc435523637"/>
      <w:bookmarkStart w:id="30" w:name="_Toc46134452"/>
      <w:bookmarkStart w:id="31" w:name="_Toc46227094"/>
      <w:bookmarkStart w:id="32" w:name="_Toc421826398"/>
      <w:bookmarkStart w:id="33" w:name="_Toc46201964"/>
      <w:bookmarkStart w:id="34" w:name="_Toc20418"/>
      <w:bookmarkStart w:id="35" w:name="_Toc19900"/>
      <w:bookmarkStart w:id="36" w:name="_Ref467052588"/>
      <w:r>
        <w:rPr>
          <w:rFonts w:hint="eastAsia" w:ascii="宋体" w:hAnsi="宋体"/>
          <w:sz w:val="21"/>
          <w:szCs w:val="21"/>
        </w:rPr>
        <w:t>六、响应文件的组成</w:t>
      </w:r>
      <w:bookmarkEnd w:id="29"/>
      <w:bookmarkEnd w:id="30"/>
      <w:bookmarkEnd w:id="31"/>
      <w:bookmarkEnd w:id="32"/>
      <w:bookmarkEnd w:id="33"/>
      <w:bookmarkEnd w:id="34"/>
      <w:bookmarkEnd w:id="35"/>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6"/>
    <w:p>
      <w:pPr>
        <w:pStyle w:val="3"/>
        <w:rPr>
          <w:rFonts w:ascii="宋体" w:hAnsi="宋体"/>
          <w:sz w:val="21"/>
          <w:szCs w:val="21"/>
        </w:rPr>
      </w:pPr>
      <w:bookmarkStart w:id="37" w:name="_Toc435523638"/>
      <w:bookmarkStart w:id="38" w:name="_Toc421826399"/>
      <w:bookmarkStart w:id="39" w:name="_Toc487900324"/>
      <w:bookmarkStart w:id="40" w:name="_Ref467306513"/>
      <w:r>
        <w:rPr>
          <w:rFonts w:hint="eastAsia" w:ascii="宋体" w:hAnsi="宋体"/>
          <w:sz w:val="21"/>
          <w:szCs w:val="21"/>
        </w:rPr>
        <w:t>七、响应文件格式</w:t>
      </w:r>
      <w:bookmarkEnd w:id="37"/>
      <w:bookmarkEnd w:id="38"/>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41" w:name="_Toc421826400"/>
      <w:bookmarkStart w:id="42" w:name="_Toc435523639"/>
      <w:r>
        <w:rPr>
          <w:rFonts w:hint="eastAsia" w:ascii="宋体" w:hAnsi="宋体"/>
          <w:sz w:val="21"/>
          <w:szCs w:val="21"/>
        </w:rPr>
        <w:t>八、报价</w:t>
      </w:r>
      <w:bookmarkEnd w:id="41"/>
      <w:bookmarkEnd w:id="42"/>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3" w:name="_Toc435523640"/>
      <w:bookmarkStart w:id="44" w:name="_Toc26129"/>
      <w:bookmarkStart w:id="45" w:name="_Toc487900326"/>
      <w:bookmarkStart w:id="46" w:name="_Toc421826401"/>
      <w:bookmarkStart w:id="47" w:name="_Toc30518"/>
      <w:r>
        <w:rPr>
          <w:rFonts w:hint="eastAsia" w:ascii="宋体" w:hAnsi="宋体"/>
          <w:sz w:val="21"/>
          <w:szCs w:val="21"/>
        </w:rPr>
        <w:t>九、响应文件的数量、签署及有关规定</w:t>
      </w:r>
      <w:bookmarkEnd w:id="43"/>
      <w:bookmarkEnd w:id="44"/>
      <w:bookmarkEnd w:id="45"/>
      <w:bookmarkEnd w:id="46"/>
      <w:bookmarkEnd w:id="47"/>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3.响应文件的封装：商务部分与技术部分统一装订成册，（壹正壹副）；如果正本与副本不符，以正本为准；并单独提供报价一览表壹份。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9"/>
    <w:bookmarkEnd w:id="40"/>
    <w:p>
      <w:pPr>
        <w:pStyle w:val="3"/>
        <w:rPr>
          <w:rFonts w:ascii="宋体" w:hAnsi="宋体"/>
          <w:sz w:val="21"/>
          <w:szCs w:val="21"/>
        </w:rPr>
      </w:pPr>
      <w:bookmarkStart w:id="48" w:name="_Toc421826402"/>
      <w:bookmarkStart w:id="49" w:name="_Toc13738"/>
      <w:bookmarkStart w:id="50" w:name="_Toc18721"/>
      <w:bookmarkStart w:id="51" w:name="_Toc435523641"/>
      <w:r>
        <w:rPr>
          <w:rFonts w:hint="eastAsia" w:ascii="宋体" w:hAnsi="宋体"/>
          <w:sz w:val="21"/>
          <w:szCs w:val="21"/>
        </w:rPr>
        <w:t>十、响应文件的装订、密封与标记</w:t>
      </w:r>
      <w:bookmarkEnd w:id="48"/>
      <w:bookmarkEnd w:id="49"/>
      <w:bookmarkEnd w:id="50"/>
      <w:bookmarkEnd w:id="51"/>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2" w:name="_Toc23127"/>
      <w:bookmarkStart w:id="53" w:name="_Toc13670"/>
      <w:bookmarkStart w:id="54" w:name="_Toc421826403"/>
      <w:bookmarkStart w:id="55" w:name="_Toc435523642"/>
      <w:r>
        <w:rPr>
          <w:rFonts w:hint="eastAsia" w:ascii="宋体" w:hAnsi="宋体"/>
          <w:sz w:val="21"/>
          <w:szCs w:val="21"/>
        </w:rPr>
        <w:t>十一、</w:t>
      </w:r>
      <w:bookmarkEnd w:id="52"/>
      <w:bookmarkEnd w:id="53"/>
      <w:bookmarkEnd w:id="54"/>
      <w:bookmarkEnd w:id="55"/>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6" w:name="_Toc435523643"/>
      <w:bookmarkStart w:id="57" w:name="_Toc421826404"/>
      <w:bookmarkStart w:id="58" w:name="_Toc32190"/>
      <w:bookmarkStart w:id="59" w:name="_Toc8073"/>
      <w:r>
        <w:rPr>
          <w:rFonts w:hint="eastAsia" w:ascii="宋体" w:hAnsi="宋体"/>
          <w:sz w:val="21"/>
          <w:szCs w:val="21"/>
        </w:rPr>
        <w:t>十二、评</w:t>
      </w:r>
      <w:bookmarkEnd w:id="56"/>
      <w:bookmarkEnd w:id="57"/>
      <w:bookmarkEnd w:id="58"/>
      <w:bookmarkEnd w:id="59"/>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highlight w:val="yellow"/>
              </w:rPr>
            </w:pPr>
            <w:bookmarkStart w:id="60" w:name="_Hlk458600997"/>
            <w:r>
              <w:rPr>
                <w:rFonts w:hint="eastAsia" w:ascii="宋体" w:hAnsi="宋体"/>
                <w:szCs w:val="21"/>
                <w:highlight w:val="yellow"/>
              </w:rPr>
              <w:t>商务部分</w:t>
            </w:r>
          </w:p>
          <w:p>
            <w:pPr>
              <w:jc w:val="center"/>
              <w:rPr>
                <w:rFonts w:ascii="宋体" w:hAnsi="宋体"/>
                <w:szCs w:val="21"/>
                <w:highlight w:val="yellow"/>
              </w:rPr>
            </w:pPr>
            <w:r>
              <w:rPr>
                <w:rFonts w:hint="eastAsia" w:ascii="宋体" w:hAnsi="宋体"/>
                <w:szCs w:val="21"/>
                <w:highlight w:val="yellow"/>
              </w:rPr>
              <w:t>（20）</w:t>
            </w:r>
          </w:p>
        </w:tc>
        <w:tc>
          <w:tcPr>
            <w:tcW w:w="1985" w:type="dxa"/>
            <w:vAlign w:val="center"/>
          </w:tcPr>
          <w:p>
            <w:pPr>
              <w:spacing w:line="315" w:lineRule="atLeast"/>
              <w:rPr>
                <w:color w:val="000000"/>
                <w:kern w:val="0"/>
                <w:szCs w:val="21"/>
                <w:highlight w:val="yellow"/>
              </w:rPr>
            </w:pPr>
            <w:r>
              <w:rPr>
                <w:rFonts w:hint="eastAsia" w:ascii="宋体" w:hAnsi="宋体"/>
                <w:szCs w:val="21"/>
                <w:highlight w:val="yellow"/>
              </w:rPr>
              <w:t>1.</w:t>
            </w:r>
            <w:r>
              <w:rPr>
                <w:rFonts w:hint="eastAsia" w:ascii="宋体" w:hAnsi="宋体"/>
                <w:color w:val="000000"/>
                <w:kern w:val="0"/>
                <w:szCs w:val="21"/>
                <w:highlight w:val="yellow"/>
              </w:rPr>
              <w:t>企业法人营业执照副本、税务登记证副本、组织机构代码证副本或境外企业合法证明材料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6</w:t>
            </w:r>
          </w:p>
        </w:tc>
        <w:tc>
          <w:tcPr>
            <w:tcW w:w="5971" w:type="dxa"/>
            <w:vAlign w:val="center"/>
          </w:tcPr>
          <w:p>
            <w:pPr>
              <w:rPr>
                <w:rFonts w:hint="eastAsia" w:ascii="宋体" w:hAnsi="宋体"/>
                <w:color w:val="000000"/>
                <w:kern w:val="0"/>
                <w:szCs w:val="21"/>
                <w:highlight w:val="yellow"/>
                <w:lang w:val="en-US" w:eastAsia="zh-CN"/>
              </w:rPr>
            </w:pPr>
            <w:r>
              <w:rPr>
                <w:rFonts w:hint="eastAsia" w:ascii="宋体" w:hAnsi="宋体"/>
                <w:color w:val="000000"/>
                <w:kern w:val="0"/>
                <w:szCs w:val="21"/>
                <w:highlight w:val="yellow"/>
              </w:rPr>
              <w:t>企业法人营业执照副本</w:t>
            </w:r>
            <w:r>
              <w:rPr>
                <w:rFonts w:hint="eastAsia" w:ascii="宋体" w:hAnsi="宋体"/>
                <w:color w:val="000000"/>
                <w:kern w:val="0"/>
                <w:szCs w:val="21"/>
                <w:highlight w:val="yellow"/>
                <w:lang w:val="en-US" w:eastAsia="zh-CN"/>
              </w:rPr>
              <w:t>2分</w:t>
            </w:r>
          </w:p>
          <w:p>
            <w:pPr>
              <w:rPr>
                <w:rFonts w:hint="eastAsia" w:ascii="宋体" w:hAnsi="宋体"/>
                <w:color w:val="000000"/>
                <w:kern w:val="0"/>
                <w:szCs w:val="21"/>
                <w:highlight w:val="yellow"/>
                <w:lang w:val="en-US" w:eastAsia="zh-CN"/>
              </w:rPr>
            </w:pPr>
            <w:r>
              <w:rPr>
                <w:rFonts w:hint="eastAsia" w:ascii="宋体" w:hAnsi="宋体"/>
                <w:color w:val="000000"/>
                <w:kern w:val="0"/>
                <w:szCs w:val="21"/>
                <w:highlight w:val="yellow"/>
              </w:rPr>
              <w:t>税务登记证副本</w:t>
            </w:r>
            <w:r>
              <w:rPr>
                <w:rFonts w:hint="eastAsia" w:ascii="宋体" w:hAnsi="宋体"/>
                <w:color w:val="000000"/>
                <w:kern w:val="0"/>
                <w:szCs w:val="21"/>
                <w:highlight w:val="yellow"/>
                <w:lang w:val="en-US" w:eastAsia="zh-CN"/>
              </w:rPr>
              <w:t>2分</w:t>
            </w:r>
          </w:p>
          <w:p>
            <w:pPr>
              <w:rPr>
                <w:rFonts w:hint="eastAsia" w:ascii="宋体" w:hAnsi="宋体" w:eastAsia="宋体"/>
                <w:szCs w:val="21"/>
                <w:highlight w:val="yellow"/>
                <w:lang w:val="en-US" w:eastAsia="zh-CN"/>
              </w:rPr>
            </w:pPr>
            <w:r>
              <w:rPr>
                <w:rFonts w:hint="eastAsia" w:ascii="宋体" w:hAnsi="宋体"/>
                <w:color w:val="000000"/>
                <w:kern w:val="0"/>
                <w:szCs w:val="21"/>
                <w:highlight w:val="yellow"/>
              </w:rPr>
              <w:t>组织机构代码证副本或境外企业合法证明材料</w:t>
            </w:r>
            <w:r>
              <w:rPr>
                <w:rFonts w:hint="eastAsia" w:ascii="宋体" w:hAnsi="宋体"/>
                <w:color w:val="000000"/>
                <w:kern w:val="0"/>
                <w:szCs w:val="21"/>
                <w:highlight w:val="yellow"/>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center"/>
              <w:rPr>
                <w:rFonts w:ascii="宋体" w:hAnsi="宋体"/>
                <w:szCs w:val="21"/>
                <w:highlight w:val="yellow"/>
              </w:rPr>
            </w:pPr>
            <w:r>
              <w:rPr>
                <w:rFonts w:hint="eastAsia"/>
                <w:color w:val="000000"/>
                <w:szCs w:val="21"/>
                <w:highlight w:val="yellow"/>
              </w:rPr>
              <w:t>2. 若为销售代理商须提供代理资质证明。</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spacing w:line="315" w:lineRule="atLeast"/>
              <w:jc w:val="center"/>
              <w:rPr>
                <w:color w:val="000000"/>
                <w:kern w:val="0"/>
                <w:szCs w:val="21"/>
                <w:highlight w:val="yellow"/>
              </w:rPr>
            </w:pPr>
            <w:r>
              <w:rPr>
                <w:rFonts w:hint="eastAsia" w:ascii="宋体" w:hAnsi="宋体"/>
                <w:szCs w:val="21"/>
                <w:highlight w:val="yellow"/>
              </w:rPr>
              <w:t>3</w:t>
            </w:r>
            <w:r>
              <w:rPr>
                <w:rFonts w:hint="eastAsia" w:ascii="宋体" w:hAnsi="宋体"/>
                <w:color w:val="000000"/>
                <w:kern w:val="0"/>
                <w:szCs w:val="21"/>
                <w:highlight w:val="yellow"/>
              </w:rPr>
              <w:t>非法定代表人报名投标的还须提供法定代表人授权委托书以及委托代理人身份证复印件境外企业需提供类似证明材料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4.质保期不小于1年</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5</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5.供货周期</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5</w:t>
            </w:r>
          </w:p>
        </w:tc>
        <w:tc>
          <w:tcPr>
            <w:tcW w:w="5971" w:type="dxa"/>
            <w:vAlign w:val="center"/>
          </w:tcPr>
          <w:p>
            <w:pPr>
              <w:rPr>
                <w:rFonts w:ascii="宋体" w:hAnsi="宋体"/>
                <w:szCs w:val="21"/>
                <w:highlight w:val="yellow"/>
              </w:rPr>
            </w:pPr>
            <w:r>
              <w:rPr>
                <w:rFonts w:hint="eastAsia"/>
                <w:sz w:val="24"/>
                <w:szCs w:val="24"/>
              </w:rPr>
              <w:t>合同之日起</w:t>
            </w:r>
            <w:r>
              <w:rPr>
                <w:sz w:val="24"/>
                <w:szCs w:val="24"/>
              </w:rPr>
              <w:t>6</w:t>
            </w:r>
            <w:r>
              <w:rPr>
                <w:rFonts w:hint="eastAsia"/>
                <w:sz w:val="24"/>
                <w:szCs w:val="24"/>
              </w:rPr>
              <w:t>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ascii="宋体" w:hAnsi="宋体"/>
                <w:szCs w:val="21"/>
              </w:rPr>
            </w:pPr>
            <w:r>
              <w:rPr>
                <w:rFonts w:hint="eastAsia" w:ascii="宋体" w:hAnsi="宋体"/>
                <w:szCs w:val="21"/>
              </w:rPr>
              <w:t>技术服务部分（40分）</w:t>
            </w:r>
          </w:p>
        </w:tc>
        <w:tc>
          <w:tcPr>
            <w:tcW w:w="1985" w:type="dxa"/>
            <w:vAlign w:val="center"/>
          </w:tcPr>
          <w:p>
            <w:pPr>
              <w:jc w:val="center"/>
              <w:rPr>
                <w:rFonts w:ascii="宋体" w:hAnsi="宋体"/>
                <w:szCs w:val="21"/>
                <w:highlight w:val="yellow"/>
              </w:rPr>
            </w:pPr>
            <w:r>
              <w:rPr>
                <w:rFonts w:hint="eastAsia" w:ascii="宋体" w:hAnsi="宋体"/>
                <w:szCs w:val="21"/>
                <w:highlight w:val="yellow"/>
              </w:rPr>
              <w:t>依照第三部分采购需求中的技术参数评分</w:t>
            </w:r>
          </w:p>
        </w:tc>
        <w:tc>
          <w:tcPr>
            <w:tcW w:w="834" w:type="dxa"/>
            <w:vAlign w:val="center"/>
          </w:tcPr>
          <w:p>
            <w:pPr>
              <w:jc w:val="center"/>
              <w:rPr>
                <w:rFonts w:ascii="宋体" w:hAnsi="宋体"/>
                <w:szCs w:val="21"/>
                <w:highlight w:val="yellow"/>
              </w:rPr>
            </w:pPr>
            <w:r>
              <w:rPr>
                <w:rFonts w:hint="eastAsia" w:ascii="宋体" w:hAnsi="宋体"/>
                <w:szCs w:val="21"/>
                <w:highlight w:val="yellow"/>
              </w:rPr>
              <w:t>40</w:t>
            </w:r>
          </w:p>
        </w:tc>
        <w:tc>
          <w:tcPr>
            <w:tcW w:w="5971" w:type="dxa"/>
            <w:vAlign w:val="center"/>
          </w:tcPr>
          <w:p>
            <w:pPr>
              <w:rPr>
                <w:rFonts w:ascii="宋体" w:hAnsi="宋体"/>
                <w:szCs w:val="21"/>
                <w:highlight w:val="yellow"/>
              </w:rPr>
            </w:pPr>
            <w:r>
              <w:rPr>
                <w:rFonts w:hint="eastAsia" w:ascii="宋体" w:hAnsi="宋体"/>
                <w:szCs w:val="21"/>
                <w:highlight w:val="yellow"/>
              </w:rPr>
              <w:t>满足每一条技术参数得满分40分，每偏离一条扣</w:t>
            </w:r>
            <w:r>
              <w:rPr>
                <w:rFonts w:hint="eastAsia" w:ascii="宋体" w:hAnsi="宋体"/>
                <w:szCs w:val="21"/>
                <w:highlight w:val="yellow"/>
                <w:lang w:eastAsia="zh-CN"/>
              </w:rPr>
              <w:t>五</w:t>
            </w:r>
            <w:r>
              <w:rPr>
                <w:rFonts w:hint="eastAsia" w:ascii="宋体" w:hAnsi="宋体"/>
                <w:szCs w:val="21"/>
                <w:highlight w:val="yellow"/>
              </w:rPr>
              <w:t>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6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 xml:space="preserve">3）如果供应商综合得分相同，按下列顺序排列以确定将被推荐为合格的候选供应商：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61" w:name="_Toc22830"/>
      <w:bookmarkStart w:id="62" w:name="_Toc435523644"/>
      <w:bookmarkStart w:id="63" w:name="_Toc421826405"/>
      <w:bookmarkStart w:id="64" w:name="_Toc5887"/>
      <w:r>
        <w:rPr>
          <w:rFonts w:hint="eastAsia" w:ascii="宋体" w:hAnsi="宋体"/>
          <w:sz w:val="21"/>
          <w:szCs w:val="21"/>
        </w:rPr>
        <w:t>十三、评审过程的保密</w:t>
      </w:r>
      <w:bookmarkEnd w:id="61"/>
      <w:bookmarkEnd w:id="62"/>
      <w:bookmarkEnd w:id="63"/>
      <w:bookmarkEnd w:id="64"/>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5" w:name="_Toc421826406"/>
      <w:bookmarkStart w:id="66" w:name="_Toc435523645"/>
      <w:bookmarkStart w:id="67" w:name="_Toc5210"/>
      <w:bookmarkStart w:id="68" w:name="_Toc31182"/>
      <w:r>
        <w:rPr>
          <w:rFonts w:hint="eastAsia" w:ascii="宋体" w:hAnsi="宋体"/>
          <w:sz w:val="21"/>
          <w:szCs w:val="21"/>
        </w:rPr>
        <w:t>十四、中标通知</w:t>
      </w:r>
      <w:bookmarkEnd w:id="65"/>
      <w:bookmarkEnd w:id="66"/>
      <w:bookmarkEnd w:id="67"/>
      <w:bookmarkEnd w:id="68"/>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9" w:name="_Toc435523646"/>
      <w:bookmarkStart w:id="70" w:name="_Toc14491"/>
      <w:bookmarkStart w:id="71" w:name="_Toc2593"/>
      <w:bookmarkStart w:id="72" w:name="_Toc421826407"/>
      <w:r>
        <w:rPr>
          <w:rFonts w:hint="eastAsia" w:ascii="宋体" w:hAnsi="宋体"/>
          <w:sz w:val="21"/>
          <w:szCs w:val="21"/>
        </w:rPr>
        <w:t>十五、签订合同</w:t>
      </w:r>
      <w:bookmarkEnd w:id="69"/>
      <w:bookmarkEnd w:id="70"/>
      <w:bookmarkEnd w:id="71"/>
      <w:bookmarkEnd w:id="72"/>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3" w:name="_Toc435523647"/>
      <w:bookmarkStart w:id="74" w:name="_Toc421826408"/>
      <w:bookmarkStart w:id="75" w:name="_Toc4999"/>
      <w:bookmarkStart w:id="76" w:name="_Toc29340"/>
      <w:r>
        <w:rPr>
          <w:rFonts w:hint="eastAsia" w:ascii="宋体" w:hAnsi="宋体"/>
          <w:sz w:val="21"/>
          <w:szCs w:val="21"/>
        </w:rPr>
        <w:t>十六、报价</w:t>
      </w:r>
      <w:bookmarkEnd w:id="73"/>
      <w:bookmarkEnd w:id="74"/>
      <w:bookmarkEnd w:id="75"/>
      <w:bookmarkEnd w:id="76"/>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hint="eastAsia" w:ascii="宋体" w:hAnsi="宋体" w:eastAsia="宋体"/>
          <w:szCs w:val="21"/>
          <w:lang w:eastAsia="zh-CN"/>
        </w:rPr>
      </w:pPr>
      <w:r>
        <w:rPr>
          <w:rFonts w:hint="eastAsia" w:ascii="宋体" w:hAnsi="宋体"/>
          <w:szCs w:val="21"/>
        </w:rPr>
        <w:t>3.费用限价为：</w:t>
      </w:r>
      <w:r>
        <w:rPr>
          <w:rFonts w:ascii="宋体" w:hAnsi="宋体"/>
          <w:color w:val="FF0000"/>
          <w:sz w:val="30"/>
          <w:szCs w:val="30"/>
          <w:u w:val="single"/>
        </w:rPr>
        <w:t>80</w:t>
      </w:r>
      <w:r>
        <w:rPr>
          <w:rFonts w:hint="eastAsia" w:ascii="宋体" w:hAnsi="宋体"/>
          <w:color w:val="FF0000"/>
          <w:sz w:val="30"/>
          <w:szCs w:val="30"/>
          <w:u w:val="single"/>
        </w:rPr>
        <w:t>.</w:t>
      </w:r>
      <w:r>
        <w:rPr>
          <w:rFonts w:ascii="宋体" w:hAnsi="宋体"/>
          <w:color w:val="FF0000"/>
          <w:sz w:val="30"/>
          <w:szCs w:val="30"/>
          <w:u w:val="single"/>
        </w:rPr>
        <w:t>4</w:t>
      </w:r>
      <w:r>
        <w:rPr>
          <w:rFonts w:hint="eastAsia" w:ascii="宋体" w:hAnsi="宋体"/>
          <w:szCs w:val="21"/>
        </w:rPr>
        <w:t>万元，超过该价格上限将导致投标无效。</w:t>
      </w:r>
    </w:p>
    <w:p>
      <w:pPr>
        <w:spacing w:line="360" w:lineRule="auto"/>
        <w:ind w:firstLine="420" w:firstLineChars="200"/>
        <w:rPr>
          <w:rFonts w:hint="eastAsia" w:ascii="宋体" w:hAnsi="宋体" w:eastAsia="宋体"/>
          <w:szCs w:val="21"/>
          <w:lang w:val="en-US" w:eastAsia="zh-CN"/>
        </w:rPr>
      </w:pPr>
      <w:bookmarkStart w:id="134" w:name="_GoBack"/>
      <w:r>
        <w:rPr>
          <w:rFonts w:hint="eastAsia" w:ascii="宋体" w:hAnsi="宋体"/>
          <w:szCs w:val="21"/>
          <w:lang w:val="en-US" w:eastAsia="zh-CN"/>
        </w:rPr>
        <w:t>4.若为进口商品需以不含税价格报价。</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5.若为外币报价以开标当天中间价换算。</w:t>
      </w:r>
    </w:p>
    <w:bookmarkEnd w:id="134"/>
    <w:p>
      <w:pPr>
        <w:pStyle w:val="2"/>
        <w:jc w:val="center"/>
        <w:rPr>
          <w:rFonts w:ascii="宋体" w:hAnsi="宋体"/>
          <w:sz w:val="21"/>
          <w:szCs w:val="21"/>
        </w:rPr>
      </w:pPr>
      <w:r>
        <w:rPr>
          <w:rFonts w:ascii="宋体" w:hAnsi="宋体"/>
          <w:b w:val="0"/>
          <w:sz w:val="21"/>
          <w:szCs w:val="21"/>
        </w:rPr>
        <w:br w:type="page"/>
      </w:r>
      <w:bookmarkStart w:id="77" w:name="_Toc23248"/>
      <w:bookmarkStart w:id="78" w:name="_Toc12562"/>
      <w:bookmarkStart w:id="79" w:name="_Toc435523648"/>
      <w:r>
        <w:rPr>
          <w:rFonts w:hint="eastAsia" w:ascii="宋体" w:hAnsi="宋体"/>
          <w:sz w:val="21"/>
          <w:szCs w:val="21"/>
        </w:rPr>
        <w:t xml:space="preserve">第三部分 </w:t>
      </w:r>
      <w:bookmarkEnd w:id="77"/>
      <w:bookmarkEnd w:id="78"/>
      <w:r>
        <w:rPr>
          <w:rFonts w:hint="eastAsia" w:ascii="宋体" w:hAnsi="宋体"/>
          <w:sz w:val="21"/>
          <w:szCs w:val="21"/>
        </w:rPr>
        <w:t>项目采购需求</w:t>
      </w:r>
      <w:bookmarkEnd w:id="79"/>
    </w:p>
    <w:p>
      <w:pPr>
        <w:pStyle w:val="102"/>
        <w:tabs>
          <w:tab w:val="left" w:pos="0"/>
        </w:tabs>
        <w:spacing w:before="156" w:after="156"/>
        <w:rPr>
          <w:rFonts w:ascii="Times New Roman" w:hAnsi="Times New Roman"/>
          <w:sz w:val="24"/>
          <w:szCs w:val="24"/>
        </w:rPr>
      </w:pPr>
      <w:bookmarkStart w:id="80" w:name="_Toc435523649"/>
      <w:bookmarkStart w:id="81" w:name="_Toc434265627"/>
      <w:bookmarkStart w:id="82" w:name="_Toc408923612"/>
      <w:r>
        <w:rPr>
          <w:rFonts w:ascii="Times New Roman" w:hAnsi="宋体"/>
          <w:bCs w:val="0"/>
          <w:sz w:val="21"/>
          <w:szCs w:val="21"/>
        </w:rPr>
        <w:t>一、</w:t>
      </w:r>
      <w:bookmarkEnd w:id="80"/>
      <w:bookmarkEnd w:id="81"/>
      <w:bookmarkEnd w:id="82"/>
      <w:r>
        <w:rPr>
          <w:rFonts w:ascii="Times New Roman" w:hAnsi="黑体"/>
          <w:sz w:val="24"/>
          <w:szCs w:val="24"/>
        </w:rPr>
        <w:t>项目组成概述</w:t>
      </w:r>
    </w:p>
    <w:p>
      <w:pPr>
        <w:pStyle w:val="107"/>
        <w:tabs>
          <w:tab w:val="left" w:pos="0"/>
        </w:tabs>
        <w:jc w:val="both"/>
        <w:rPr>
          <w:rFonts w:hAnsi="宋体"/>
        </w:rPr>
      </w:pPr>
      <w:r>
        <w:rPr>
          <w:rFonts w:hint="eastAsia" w:hAnsi="宋体"/>
        </w:rPr>
        <w:t>名称：</w:t>
      </w:r>
      <w:bookmarkStart w:id="83" w:name="_Toc24838"/>
      <w:bookmarkStart w:id="84" w:name="_Toc15520"/>
      <w:bookmarkStart w:id="85" w:name="_Toc435523662"/>
      <w:r>
        <w:rPr>
          <w:rFonts w:hint="eastAsia" w:hAnsi="宋体"/>
        </w:rPr>
        <w:t xml:space="preserve">赤道仪    </w:t>
      </w:r>
    </w:p>
    <w:p>
      <w:pPr>
        <w:pStyle w:val="107"/>
        <w:tabs>
          <w:tab w:val="left" w:pos="0"/>
        </w:tabs>
        <w:jc w:val="both"/>
      </w:pPr>
      <w:r>
        <w:rPr>
          <w:rFonts w:hint="eastAsia" w:hAnsi="宋体"/>
        </w:rPr>
        <w:t>数量：五台</w:t>
      </w:r>
    </w:p>
    <w:p>
      <w:pPr>
        <w:pStyle w:val="2"/>
        <w:spacing w:before="100" w:after="100"/>
        <w:rPr>
          <w:rFonts w:hAnsi="黑体" w:eastAsia="黑体"/>
          <w:b w:val="0"/>
          <w:bCs/>
          <w:kern w:val="2"/>
          <w:sz w:val="24"/>
          <w:szCs w:val="24"/>
        </w:rPr>
      </w:pPr>
      <w:r>
        <w:rPr>
          <w:rFonts w:hAnsi="黑体" w:eastAsia="黑体"/>
          <w:b w:val="0"/>
          <w:bCs/>
          <w:kern w:val="2"/>
          <w:sz w:val="24"/>
          <w:szCs w:val="24"/>
        </w:rPr>
        <w:t>二、技术参数</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*机架形式：德国式；</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负载：≥100kg；</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*指向精度（指向模型修正后）：好于10角秒；</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跟踪精度：恒动时1分钟内好于</w:t>
      </w:r>
      <w:r>
        <w:rPr>
          <w:rFonts w:ascii="宋体" w:hAnsi="宋体"/>
          <w:color w:val="000000"/>
          <w:sz w:val="24"/>
          <w:szCs w:val="24"/>
        </w:rPr>
        <w:t>0.25</w:t>
      </w:r>
      <w:r>
        <w:rPr>
          <w:rFonts w:hint="eastAsia" w:ascii="宋体" w:hAnsi="宋体"/>
          <w:color w:val="000000"/>
          <w:sz w:val="24"/>
          <w:szCs w:val="24"/>
        </w:rPr>
        <w:t>角秒；</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*软件编程接口：可通过ASCOM协议实现赤道仪的置位、送速度等操作；</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*随设备的软件：提供GUI控制软件，可实现望远镜的所有操作；</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功能性软件：提供软件，可自动实现建立指向模型所需的图像采集及计算。</w:t>
      </w:r>
    </w:p>
    <w:p>
      <w:pPr>
        <w:pStyle w:val="2"/>
        <w:spacing w:before="100" w:after="100"/>
        <w:rPr>
          <w:rFonts w:ascii="黑体" w:eastAsia="黑体"/>
          <w:b w:val="0"/>
          <w:sz w:val="24"/>
          <w:szCs w:val="24"/>
        </w:rPr>
      </w:pPr>
      <w:r>
        <w:rPr>
          <w:rFonts w:hint="eastAsia" w:ascii="黑体" w:eastAsia="黑体"/>
          <w:b w:val="0"/>
          <w:sz w:val="24"/>
          <w:szCs w:val="24"/>
        </w:rPr>
        <w:t>三 验收</w:t>
      </w:r>
    </w:p>
    <w:p>
      <w:pPr>
        <w:pStyle w:val="14"/>
        <w:adjustRightInd w:val="0"/>
        <w:snapToGrid w:val="0"/>
        <w:spacing w:after="0" w:line="360" w:lineRule="auto"/>
        <w:jc w:val="left"/>
        <w:rPr>
          <w:rFonts w:ascii="宋体" w:hAnsi="宋体"/>
          <w:sz w:val="24"/>
          <w:szCs w:val="24"/>
        </w:rPr>
      </w:pPr>
      <w:r>
        <w:rPr>
          <w:rFonts w:hint="eastAsia" w:ascii="宋体" w:hAnsi="宋体"/>
          <w:sz w:val="24"/>
          <w:szCs w:val="24"/>
        </w:rPr>
        <w:t>*</w:t>
      </w: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80" w:firstLineChars="200"/>
        <w:jc w:val="left"/>
        <w:rPr>
          <w:rFonts w:ascii="Arial" w:hAnsi="Arial" w:cs="Arial"/>
          <w:sz w:val="24"/>
          <w:szCs w:val="24"/>
        </w:rPr>
      </w:pPr>
      <w:r>
        <w:rPr>
          <w:rFonts w:ascii="宋体" w:hAnsi="宋体"/>
          <w:sz w:val="24"/>
          <w:szCs w:val="24"/>
        </w:rPr>
        <w:t>按技术协议验收。</w:t>
      </w:r>
    </w:p>
    <w:p>
      <w:pPr>
        <w:adjustRightInd w:val="0"/>
        <w:snapToGrid w:val="0"/>
        <w:spacing w:line="360" w:lineRule="auto"/>
        <w:jc w:val="left"/>
        <w:rPr>
          <w:rFonts w:ascii="宋体" w:hAnsi="宋体"/>
          <w:sz w:val="24"/>
          <w:szCs w:val="24"/>
        </w:rPr>
      </w:pPr>
      <w:r>
        <w:rPr>
          <w:rFonts w:hint="eastAsia" w:ascii="宋体" w:hAnsi="宋体"/>
          <w:sz w:val="24"/>
          <w:szCs w:val="24"/>
        </w:rPr>
        <w:t>2</w:t>
      </w:r>
      <w:r>
        <w:rPr>
          <w:rFonts w:ascii="宋体" w:hAnsi="宋体"/>
          <w:sz w:val="24"/>
          <w:szCs w:val="24"/>
        </w:rPr>
        <w:t>验收方式：</w:t>
      </w:r>
    </w:p>
    <w:p>
      <w:pPr>
        <w:pStyle w:val="14"/>
        <w:adjustRightInd w:val="0"/>
        <w:snapToGrid w:val="0"/>
        <w:spacing w:after="0" w:line="360" w:lineRule="auto"/>
        <w:ind w:firstLine="480" w:firstLineChars="20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sz w:val="24"/>
          <w:szCs w:val="24"/>
        </w:rPr>
      </w:pPr>
      <w:r>
        <w:rPr>
          <w:rFonts w:hint="eastAsia" w:ascii="宋体" w:hAnsi="宋体"/>
          <w:sz w:val="24"/>
          <w:szCs w:val="24"/>
        </w:rPr>
        <w:t>3</w:t>
      </w:r>
      <w:r>
        <w:rPr>
          <w:rFonts w:ascii="宋体" w:hAnsi="宋体"/>
          <w:sz w:val="24"/>
          <w:szCs w:val="24"/>
        </w:rPr>
        <w:t>验收内容：</w:t>
      </w:r>
    </w:p>
    <w:p>
      <w:pPr>
        <w:numPr>
          <w:ilvl w:val="0"/>
          <w:numId w:val="3"/>
        </w:numPr>
        <w:spacing w:line="360" w:lineRule="auto"/>
        <w:rPr>
          <w:rFonts w:ascii="Arial" w:hAnsi="Arial" w:cs="Arial"/>
          <w:sz w:val="24"/>
          <w:szCs w:val="24"/>
        </w:rPr>
      </w:pPr>
      <w:r>
        <w:rPr>
          <w:rFonts w:ascii="Arial" w:hAnsi="Arial" w:cs="Arial"/>
          <w:sz w:val="24"/>
          <w:szCs w:val="24"/>
        </w:rPr>
        <w:t>设备</w:t>
      </w:r>
      <w:r>
        <w:rPr>
          <w:rFonts w:hint="eastAsia" w:ascii="Arial" w:hAnsi="Arial" w:cs="Arial"/>
          <w:sz w:val="24"/>
          <w:szCs w:val="24"/>
        </w:rPr>
        <w:t>交付</w:t>
      </w:r>
      <w:r>
        <w:rPr>
          <w:rFonts w:ascii="Arial" w:hAnsi="Arial" w:cs="Arial"/>
          <w:sz w:val="24"/>
          <w:szCs w:val="24"/>
        </w:rPr>
        <w:t>到</w:t>
      </w:r>
      <w:r>
        <w:rPr>
          <w:rFonts w:hint="eastAsia" w:ascii="Arial" w:hAnsi="Arial" w:cs="Arial"/>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hint="eastAsia" w:ascii="Arial" w:hAnsi="Arial" w:cs="Arial"/>
          <w:sz w:val="24"/>
          <w:szCs w:val="24"/>
        </w:rPr>
        <w:t>用户方</w:t>
      </w:r>
      <w:r>
        <w:rPr>
          <w:rFonts w:ascii="Arial" w:hAnsi="Arial" w:cs="Arial"/>
          <w:sz w:val="24"/>
          <w:szCs w:val="24"/>
        </w:rPr>
        <w:t>操作人员进行技术培训，</w:t>
      </w:r>
      <w:r>
        <w:rPr>
          <w:rFonts w:hint="eastAsia" w:ascii="Arial" w:hAnsi="Arial" w:cs="Arial"/>
          <w:sz w:val="24"/>
          <w:szCs w:val="24"/>
        </w:rPr>
        <w:t>使用户方</w:t>
      </w:r>
      <w:r>
        <w:rPr>
          <w:rFonts w:ascii="Arial" w:hAnsi="Arial" w:cs="Arial"/>
          <w:sz w:val="24"/>
          <w:szCs w:val="24"/>
        </w:rPr>
        <w:t xml:space="preserve">技术人员能够独立操作设备； </w:t>
      </w:r>
    </w:p>
    <w:p>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hint="eastAsia" w:ascii="Arial" w:hAnsi="Arial" w:cs="Arial"/>
          <w:sz w:val="24"/>
          <w:szCs w:val="24"/>
        </w:rPr>
        <w:t>验收，</w:t>
      </w:r>
      <w:r>
        <w:rPr>
          <w:rFonts w:ascii="Arial" w:hAnsi="Arial" w:cs="Arial"/>
          <w:sz w:val="24"/>
          <w:szCs w:val="24"/>
        </w:rPr>
        <w:t>验收合格，供需双方签订正式验收报告。如验收不合格，由此产生的退、换货等费用由供方负责。</w:t>
      </w:r>
    </w:p>
    <w:p>
      <w:pPr>
        <w:pStyle w:val="2"/>
        <w:spacing w:before="100" w:after="100"/>
        <w:rPr>
          <w:rFonts w:eastAsia="黑体"/>
          <w:b w:val="0"/>
          <w:sz w:val="24"/>
          <w:szCs w:val="24"/>
        </w:rPr>
      </w:pPr>
      <w:r>
        <w:rPr>
          <w:rFonts w:eastAsia="黑体"/>
          <w:b w:val="0"/>
          <w:sz w:val="24"/>
          <w:szCs w:val="24"/>
        </w:rPr>
        <w:t>四</w:t>
      </w:r>
      <w:r>
        <w:rPr>
          <w:rFonts w:hint="eastAsia" w:eastAsia="黑体"/>
          <w:b w:val="0"/>
          <w:sz w:val="24"/>
          <w:szCs w:val="24"/>
        </w:rPr>
        <w:t>付款方式、供货周期、</w:t>
      </w:r>
      <w:r>
        <w:rPr>
          <w:rFonts w:eastAsia="黑体"/>
          <w:b w:val="0"/>
          <w:sz w:val="24"/>
          <w:szCs w:val="24"/>
        </w:rPr>
        <w:t>质量保证、设备调试与培训</w:t>
      </w:r>
    </w:p>
    <w:p>
      <w:pPr>
        <w:adjustRightInd w:val="0"/>
        <w:snapToGrid w:val="0"/>
        <w:spacing w:line="360" w:lineRule="auto"/>
        <w:jc w:val="left"/>
        <w:rPr>
          <w:sz w:val="24"/>
          <w:szCs w:val="24"/>
        </w:rPr>
      </w:pPr>
      <w:r>
        <w:rPr>
          <w:rFonts w:hint="eastAsia"/>
          <w:sz w:val="24"/>
          <w:szCs w:val="24"/>
        </w:rPr>
        <w:t>1付款方式：签订合同预付50%，收到到货通知付40%，验收合格后付10%</w:t>
      </w:r>
    </w:p>
    <w:p>
      <w:pPr>
        <w:adjustRightInd w:val="0"/>
        <w:snapToGrid w:val="0"/>
        <w:spacing w:line="360" w:lineRule="auto"/>
        <w:jc w:val="left"/>
        <w:rPr>
          <w:sz w:val="24"/>
          <w:szCs w:val="24"/>
        </w:rPr>
      </w:pPr>
      <w:r>
        <w:rPr>
          <w:rFonts w:hint="eastAsia"/>
          <w:sz w:val="24"/>
          <w:szCs w:val="24"/>
        </w:rPr>
        <w:t>2供货周期：签字合同之日起</w:t>
      </w:r>
      <w:r>
        <w:rPr>
          <w:sz w:val="24"/>
          <w:szCs w:val="24"/>
        </w:rPr>
        <w:t>6</w:t>
      </w:r>
      <w:r>
        <w:rPr>
          <w:rFonts w:hint="eastAsia"/>
          <w:sz w:val="24"/>
          <w:szCs w:val="24"/>
        </w:rPr>
        <w:t>个月内供货</w:t>
      </w:r>
    </w:p>
    <w:p>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pPr>
        <w:numPr>
          <w:ilvl w:val="0"/>
          <w:numId w:val="4"/>
        </w:numPr>
        <w:spacing w:line="360" w:lineRule="auto"/>
        <w:rPr>
          <w:sz w:val="24"/>
          <w:szCs w:val="24"/>
        </w:rPr>
      </w:pPr>
      <w:r>
        <w:rPr>
          <w:rFonts w:hAnsi="Arial"/>
          <w:sz w:val="24"/>
          <w:szCs w:val="24"/>
        </w:rPr>
        <w:t>供方保证所提供设备为性能合格稳定的新设备；</w:t>
      </w:r>
    </w:p>
    <w:p>
      <w:pPr>
        <w:numPr>
          <w:ilvl w:val="0"/>
          <w:numId w:val="4"/>
        </w:numPr>
        <w:spacing w:line="360" w:lineRule="auto"/>
        <w:rPr>
          <w:color w:val="FF0000"/>
          <w:sz w:val="24"/>
          <w:szCs w:val="24"/>
        </w:rPr>
      </w:pPr>
      <w:r>
        <w:rPr>
          <w:rFonts w:hint="eastAsia" w:hAnsi="Arial"/>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sz w:val="24"/>
          <w:szCs w:val="24"/>
        </w:rPr>
      </w:pPr>
      <w:r>
        <w:rPr>
          <w:rFonts w:hint="eastAsia" w:hAnsi="宋体"/>
          <w:sz w:val="24"/>
          <w:szCs w:val="24"/>
        </w:rPr>
        <w:t>4</w:t>
      </w:r>
      <w:r>
        <w:rPr>
          <w:rFonts w:hAnsi="宋体"/>
          <w:sz w:val="24"/>
          <w:szCs w:val="24"/>
        </w:rPr>
        <w:t>设备调试与培训</w:t>
      </w:r>
      <w:r>
        <w:rPr>
          <w:sz w:val="24"/>
          <w:szCs w:val="24"/>
        </w:rPr>
        <w:t>:</w:t>
      </w:r>
    </w:p>
    <w:p>
      <w:pPr>
        <w:numPr>
          <w:ilvl w:val="0"/>
          <w:numId w:val="5"/>
        </w:numPr>
        <w:spacing w:line="360" w:lineRule="auto"/>
        <w:rPr>
          <w:sz w:val="24"/>
          <w:szCs w:val="24"/>
        </w:rPr>
      </w:pPr>
      <w:r>
        <w:rPr>
          <w:rFonts w:hAnsi="Arial"/>
          <w:sz w:val="24"/>
          <w:szCs w:val="24"/>
        </w:rPr>
        <w:t>供方协助设备安装就位并免费调试；</w:t>
      </w:r>
    </w:p>
    <w:p>
      <w:pPr>
        <w:numPr>
          <w:ilvl w:val="0"/>
          <w:numId w:val="5"/>
        </w:numPr>
        <w:spacing w:line="360" w:lineRule="auto"/>
        <w:rPr>
          <w:sz w:val="24"/>
          <w:szCs w:val="24"/>
        </w:rPr>
      </w:pPr>
      <w:r>
        <w:rPr>
          <w:rFonts w:hAnsi="Arial"/>
          <w:sz w:val="24"/>
          <w:szCs w:val="24"/>
        </w:rPr>
        <w:t>供方免费对用户方使用人员进行技术培训，以用户方能正确操作为准。</w:t>
      </w:r>
    </w:p>
    <w:p>
      <w:pPr>
        <w:pStyle w:val="2"/>
        <w:spacing w:before="100" w:after="100"/>
        <w:rPr>
          <w:rFonts w:eastAsia="黑体"/>
          <w:b w:val="0"/>
          <w:sz w:val="24"/>
          <w:szCs w:val="24"/>
        </w:rPr>
      </w:pPr>
      <w:r>
        <w:rPr>
          <w:rFonts w:eastAsia="黑体"/>
          <w:b w:val="0"/>
          <w:sz w:val="24"/>
          <w:szCs w:val="24"/>
        </w:rPr>
        <w:t>五售后服务</w:t>
      </w:r>
    </w:p>
    <w:p>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int="eastAsia" w:hAnsi="宋体"/>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int="eastAsia" w:hAnsi="宋体"/>
          <w:sz w:val="24"/>
          <w:szCs w:val="24"/>
        </w:rPr>
        <w:t>。如供方远程支持无法解决问题，</w:t>
      </w:r>
      <w:r>
        <w:rPr>
          <w:rFonts w:hAnsi="宋体"/>
          <w:sz w:val="24"/>
          <w:szCs w:val="24"/>
        </w:rPr>
        <w:t>除重大故障外（如机械部件损坏）</w:t>
      </w:r>
      <w:r>
        <w:rPr>
          <w:rFonts w:hint="eastAsia" w:hAnsi="宋体"/>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pPr>
        <w:adjustRightInd w:val="0"/>
        <w:snapToGrid w:val="0"/>
        <w:spacing w:line="360" w:lineRule="auto"/>
        <w:jc w:val="left"/>
        <w:rPr>
          <w:sz w:val="24"/>
          <w:szCs w:val="24"/>
        </w:rPr>
      </w:pPr>
      <w:r>
        <w:rPr>
          <w:sz w:val="24"/>
          <w:szCs w:val="24"/>
        </w:rPr>
        <w:t>2</w:t>
      </w:r>
      <w:r>
        <w:rPr>
          <w:rFonts w:hAnsi="宋体"/>
          <w:sz w:val="24"/>
          <w:szCs w:val="24"/>
        </w:rPr>
        <w:t>质保期外，</w:t>
      </w:r>
      <w:r>
        <w:rPr>
          <w:rFonts w:hint="eastAsia" w:hAnsi="宋体"/>
          <w:sz w:val="24"/>
          <w:szCs w:val="24"/>
        </w:rPr>
        <w:t>在生产商维持正常供应的情况下，</w:t>
      </w:r>
      <w:r>
        <w:rPr>
          <w:rFonts w:hAnsi="宋体"/>
          <w:sz w:val="24"/>
          <w:szCs w:val="24"/>
        </w:rPr>
        <w:t>供方保证以</w:t>
      </w:r>
      <w:r>
        <w:rPr>
          <w:rFonts w:hint="eastAsia" w:hAnsi="宋体"/>
          <w:sz w:val="24"/>
          <w:szCs w:val="24"/>
        </w:rPr>
        <w:t>不高于市场</w:t>
      </w:r>
      <w:r>
        <w:rPr>
          <w:rFonts w:hAnsi="宋体"/>
          <w:sz w:val="24"/>
          <w:szCs w:val="24"/>
        </w:rPr>
        <w:t>价提供备件和</w:t>
      </w:r>
      <w:r>
        <w:rPr>
          <w:rFonts w:hint="eastAsia" w:hAnsi="宋体"/>
          <w:sz w:val="24"/>
          <w:szCs w:val="24"/>
        </w:rPr>
        <w:t>保证不少于10年的技术维</w:t>
      </w:r>
      <w:r>
        <w:rPr>
          <w:rFonts w:hAnsi="宋体"/>
          <w:sz w:val="24"/>
          <w:szCs w:val="24"/>
        </w:rPr>
        <w:t>修</w:t>
      </w:r>
      <w:r>
        <w:rPr>
          <w:rFonts w:hint="eastAsia" w:hAnsi="宋体"/>
          <w:sz w:val="24"/>
          <w:szCs w:val="24"/>
        </w:rPr>
        <w:t>支持</w:t>
      </w:r>
      <w:r>
        <w:rPr>
          <w:rFonts w:hAnsi="宋体"/>
          <w:sz w:val="24"/>
          <w:szCs w:val="24"/>
        </w:rPr>
        <w:t>；</w:t>
      </w:r>
    </w:p>
    <w:p>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pPr>
        <w:adjustRightInd w:val="0"/>
        <w:snapToGrid w:val="0"/>
        <w:spacing w:line="360" w:lineRule="auto"/>
        <w:jc w:val="left"/>
        <w:rPr>
          <w:sz w:val="24"/>
          <w:szCs w:val="24"/>
        </w:rPr>
      </w:pPr>
      <w:r>
        <w:rPr>
          <w:sz w:val="24"/>
          <w:szCs w:val="24"/>
        </w:rPr>
        <w:t>4</w:t>
      </w:r>
      <w:r>
        <w:rPr>
          <w:rFonts w:hAnsi="宋体"/>
          <w:sz w:val="24"/>
          <w:szCs w:val="24"/>
        </w:rPr>
        <w:t>供方提供免费升级服务。</w:t>
      </w:r>
    </w:p>
    <w:p>
      <w:pPr>
        <w:pStyle w:val="107"/>
        <w:tabs>
          <w:tab w:val="left" w:pos="0"/>
        </w:tabs>
        <w:jc w:val="both"/>
        <w:rPr>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3"/>
      <w:bookmarkEnd w:id="84"/>
      <w:bookmarkEnd w:id="85"/>
    </w:p>
    <w:p>
      <w:pPr>
        <w:pStyle w:val="3"/>
        <w:rPr>
          <w:rFonts w:ascii="宋体" w:hAnsi="宋体"/>
          <w:sz w:val="21"/>
          <w:szCs w:val="21"/>
        </w:rPr>
      </w:pPr>
      <w:bookmarkStart w:id="86" w:name="_Toc16837"/>
      <w:bookmarkStart w:id="87" w:name="_Toc11974"/>
      <w:bookmarkStart w:id="88" w:name="_Toc408923619"/>
      <w:bookmarkStart w:id="89" w:name="_Toc174185202"/>
      <w:bookmarkStart w:id="90" w:name="_Toc435523663"/>
      <w:bookmarkStart w:id="91" w:name="_Toc180051036"/>
      <w:bookmarkStart w:id="92" w:name="_Toc86202633"/>
      <w:r>
        <w:rPr>
          <w:rFonts w:hint="eastAsia" w:ascii="宋体" w:hAnsi="宋体"/>
          <w:sz w:val="21"/>
          <w:szCs w:val="21"/>
        </w:rPr>
        <w:t>一、供应商提交文件须知</w:t>
      </w:r>
      <w:bookmarkEnd w:id="86"/>
      <w:bookmarkEnd w:id="87"/>
      <w:bookmarkEnd w:id="88"/>
      <w:bookmarkEnd w:id="89"/>
      <w:bookmarkEnd w:id="90"/>
      <w:bookmarkEnd w:id="91"/>
      <w:bookmarkEnd w:id="92"/>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11" w:type="first"/>
          <w:footerReference r:id="rId9" w:type="default"/>
          <w:footerReference r:id="rId10"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3" w:name="_Toc17887"/>
      <w:bookmarkStart w:id="94" w:name="_Toc435523664"/>
      <w:bookmarkStart w:id="95" w:name="_Toc174185203"/>
      <w:bookmarkStart w:id="96" w:name="_Toc180051037"/>
      <w:r>
        <w:rPr>
          <w:rFonts w:hint="eastAsia" w:ascii="宋体" w:hAnsi="宋体"/>
          <w:sz w:val="21"/>
          <w:szCs w:val="21"/>
        </w:rPr>
        <w:t>附件一、供应商应答索引表</w:t>
      </w:r>
      <w:bookmarkEnd w:id="93"/>
      <w:bookmarkEnd w:id="94"/>
      <w:bookmarkEnd w:id="95"/>
      <w:bookmarkEnd w:id="96"/>
    </w:p>
    <w:p>
      <w:pPr>
        <w:snapToGrid w:val="0"/>
        <w:rPr>
          <w:rFonts w:ascii="宋体" w:hAnsi="宋体"/>
          <w:szCs w:val="21"/>
        </w:rPr>
      </w:pPr>
    </w:p>
    <w:tbl>
      <w:tblPr>
        <w:tblStyle w:val="27"/>
        <w:tblW w:w="9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付款方式：签订合同预付50%，收到到货通知付40%，验收合格后付10%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签字合同之日起1</w:t>
            </w:r>
            <w:r>
              <w:rPr>
                <w:sz w:val="24"/>
                <w:szCs w:val="24"/>
              </w:rPr>
              <w:t>8</w:t>
            </w:r>
            <w:r>
              <w:rPr>
                <w:rFonts w:hint="eastAsia"/>
                <w:sz w:val="24"/>
                <w:szCs w:val="24"/>
              </w:rPr>
              <w:t>0天内供货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7" w:name="_Toc223405606"/>
      <w:bookmarkStart w:id="98" w:name="_Toc435523665"/>
      <w:bookmarkStart w:id="99" w:name="_Toc29401"/>
      <w:bookmarkStart w:id="100" w:name="_Toc1779"/>
      <w:r>
        <w:rPr>
          <w:rFonts w:hint="eastAsia" w:ascii="宋体" w:hAnsi="宋体"/>
          <w:sz w:val="21"/>
          <w:szCs w:val="21"/>
        </w:rPr>
        <w:t>附件二、竞争性谈判响应函</w:t>
      </w:r>
      <w:bookmarkEnd w:id="97"/>
      <w:bookmarkEnd w:id="98"/>
      <w:bookmarkEnd w:id="99"/>
      <w:bookmarkEnd w:id="100"/>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元的总价遵照竞争性谈判文件的要求承担采购的服务，服务周期为自签订合同后6个月。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5）.具有备有效的GB/T19001/ISO9001质量管理体系认证证书或等效认证证书；</w:t>
      </w:r>
    </w:p>
    <w:p>
      <w:pPr>
        <w:spacing w:line="360" w:lineRule="auto"/>
        <w:ind w:firstLine="420" w:firstLineChars="200"/>
        <w:rPr>
          <w:rFonts w:ascii="宋体" w:hAnsi="宋体"/>
          <w:szCs w:val="21"/>
        </w:rPr>
      </w:pPr>
      <w:r>
        <w:rPr>
          <w:rFonts w:hint="eastAsia" w:ascii="宋体" w:hAnsi="宋体"/>
          <w:szCs w:val="21"/>
        </w:rPr>
        <w:t>6）.具有3年内（201</w:t>
      </w:r>
      <w:r>
        <w:rPr>
          <w:rFonts w:ascii="宋体" w:hAnsi="宋体"/>
          <w:szCs w:val="21"/>
        </w:rPr>
        <w:t>6</w:t>
      </w:r>
      <w:r>
        <w:rPr>
          <w:rFonts w:hint="eastAsia" w:ascii="宋体" w:hAnsi="宋体"/>
          <w:szCs w:val="21"/>
        </w:rPr>
        <w:t>年1月1日以来），3项以上的同类产品销售的经历；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101" w:name="_Toc223405607"/>
    </w:p>
    <w:p/>
    <w:p/>
    <w:p/>
    <w:p/>
    <w:p/>
    <w:p/>
    <w:p/>
    <w:p/>
    <w:p/>
    <w:p>
      <w:pPr>
        <w:pStyle w:val="4"/>
        <w:rPr>
          <w:rFonts w:ascii="宋体" w:hAnsi="宋体"/>
          <w:sz w:val="21"/>
          <w:szCs w:val="21"/>
        </w:rPr>
      </w:pPr>
      <w:bookmarkStart w:id="102" w:name="_Toc23115"/>
      <w:bookmarkStart w:id="103" w:name="_Toc435523666"/>
      <w:r>
        <w:rPr>
          <w:rFonts w:hint="eastAsia" w:ascii="宋体" w:hAnsi="宋体"/>
          <w:sz w:val="21"/>
          <w:szCs w:val="21"/>
        </w:rPr>
        <w:t>附件三、报价一览表</w:t>
      </w:r>
      <w:bookmarkEnd w:id="101"/>
      <w:bookmarkEnd w:id="102"/>
      <w:bookmarkEnd w:id="103"/>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4" w:name="_Toc223405608"/>
      <w:bookmarkStart w:id="105" w:name="_Toc24441"/>
      <w:bookmarkStart w:id="106" w:name="_Toc435523667"/>
      <w:r>
        <w:rPr>
          <w:rFonts w:hint="eastAsia" w:ascii="宋体" w:hAnsi="宋体"/>
          <w:sz w:val="21"/>
          <w:szCs w:val="21"/>
        </w:rPr>
        <w:t>附件四、项目报价测算明细表</w:t>
      </w:r>
      <w:bookmarkEnd w:id="104"/>
      <w:bookmarkEnd w:id="105"/>
      <w:bookmarkEnd w:id="106"/>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Ind w:w="0" w:type="dxa"/>
        <w:tblLayout w:type="fixed"/>
        <w:tblCellMar>
          <w:top w:w="0" w:type="dxa"/>
          <w:left w:w="108" w:type="dxa"/>
          <w:bottom w:w="0" w:type="dxa"/>
          <w:right w:w="108" w:type="dxa"/>
        </w:tblCellMar>
      </w:tblPr>
      <w:tblGrid>
        <w:gridCol w:w="900"/>
        <w:gridCol w:w="2791"/>
        <w:gridCol w:w="2361"/>
        <w:gridCol w:w="1907"/>
      </w:tblGrid>
      <w:tr>
        <w:tblPrEx>
          <w:tblLayout w:type="fixed"/>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Layout w:type="fixed"/>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Layout w:type="fixed"/>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7" w:name="_Toc18818"/>
      <w:r>
        <w:rPr>
          <w:rFonts w:hint="eastAsia" w:ascii="宋体" w:hAnsi="宋体"/>
          <w:szCs w:val="21"/>
        </w:rPr>
        <w:t xml:space="preserve"> 日期：    年     月     日</w:t>
      </w:r>
      <w:bookmarkStart w:id="108" w:name="_Toc223405609"/>
    </w:p>
    <w:p/>
    <w:p/>
    <w:p/>
    <w:p/>
    <w:p/>
    <w:p/>
    <w:p/>
    <w:p/>
    <w:bookmarkEnd w:id="107"/>
    <w:p>
      <w:pPr>
        <w:pStyle w:val="4"/>
        <w:rPr>
          <w:rFonts w:ascii="宋体" w:hAnsi="宋体"/>
          <w:sz w:val="21"/>
          <w:szCs w:val="21"/>
        </w:rPr>
      </w:pPr>
      <w:bookmarkStart w:id="109" w:name="_Toc435523669"/>
      <w:r>
        <w:rPr>
          <w:rFonts w:hint="eastAsia" w:ascii="宋体" w:hAnsi="宋体"/>
          <w:sz w:val="21"/>
          <w:szCs w:val="21"/>
        </w:rPr>
        <w:t>附件五、法人代表身份证明书</w:t>
      </w:r>
      <w:bookmarkEnd w:id="108"/>
      <w:bookmarkEnd w:id="109"/>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10" w:name="_Toc18438"/>
      <w:bookmarkStart w:id="111" w:name="_Toc223405610"/>
      <w:r>
        <w:rPr>
          <w:rFonts w:hint="eastAsia" w:ascii="宋体" w:hAnsi="宋体"/>
          <w:szCs w:val="21"/>
        </w:rPr>
        <w:t>特此证明！</w:t>
      </w:r>
      <w:bookmarkEnd w:id="110"/>
      <w:bookmarkEnd w:id="1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20847"/>
      <w:bookmarkStart w:id="113" w:name="_Toc223405611"/>
      <w:r>
        <w:rPr>
          <w:rFonts w:hint="eastAsia" w:ascii="宋体" w:hAnsi="宋体"/>
          <w:szCs w:val="21"/>
        </w:rPr>
        <w:t>供应商（全称）：                      (盖章)</w:t>
      </w:r>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4" w:name="_Toc5077"/>
      <w:r>
        <w:rPr>
          <w:rFonts w:hint="eastAsia" w:ascii="宋体" w:hAnsi="宋体"/>
          <w:szCs w:val="21"/>
        </w:rPr>
        <w:t>法定代表人：                         (签章)</w:t>
      </w:r>
      <w:bookmarkEnd w:id="113"/>
      <w:bookmarkEnd w:id="114"/>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5" w:name="_Toc223405612"/>
      <w:bookmarkStart w:id="116" w:name="_Toc1135"/>
      <w:bookmarkStart w:id="117" w:name="_Toc22215"/>
      <w:bookmarkStart w:id="118" w:name="_Toc435523670"/>
      <w:r>
        <w:rPr>
          <w:rFonts w:hint="eastAsia" w:ascii="宋体" w:hAnsi="宋体"/>
          <w:sz w:val="21"/>
          <w:szCs w:val="21"/>
        </w:rPr>
        <w:t>附件六、法人代表授权委托书</w:t>
      </w:r>
      <w:bookmarkEnd w:id="115"/>
      <w:bookmarkEnd w:id="116"/>
      <w:bookmarkEnd w:id="117"/>
      <w:bookmarkEnd w:id="118"/>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9" w:name="_Toc16251"/>
      <w:bookmarkStart w:id="120" w:name="_Toc435523672"/>
      <w:r>
        <w:rPr>
          <w:rFonts w:hint="eastAsia" w:ascii="宋体" w:hAnsi="宋体"/>
          <w:sz w:val="21"/>
          <w:szCs w:val="21"/>
        </w:rPr>
        <w:t>附件七、资格证明文件</w:t>
      </w:r>
      <w:bookmarkEnd w:id="119"/>
      <w:bookmarkEnd w:id="120"/>
    </w:p>
    <w:p>
      <w:pPr>
        <w:pStyle w:val="4"/>
        <w:rPr>
          <w:rFonts w:ascii="宋体" w:hAnsi="宋体"/>
          <w:sz w:val="21"/>
          <w:szCs w:val="21"/>
        </w:rPr>
      </w:pPr>
      <w:bookmarkStart w:id="121" w:name="_Toc17128"/>
      <w:bookmarkStart w:id="122" w:name="_Toc435523673"/>
      <w:bookmarkStart w:id="123" w:name="_Toc225046250"/>
      <w:r>
        <w:rPr>
          <w:rFonts w:hint="eastAsia" w:ascii="宋体" w:hAnsi="宋体"/>
          <w:sz w:val="21"/>
          <w:szCs w:val="21"/>
        </w:rPr>
        <w:t>附件八、相关业绩证明材料</w:t>
      </w:r>
      <w:bookmarkEnd w:id="121"/>
      <w:bookmarkEnd w:id="122"/>
    </w:p>
    <w:p>
      <w:pPr>
        <w:pStyle w:val="4"/>
        <w:rPr>
          <w:rFonts w:ascii="宋体" w:hAnsi="宋体"/>
          <w:sz w:val="21"/>
          <w:szCs w:val="21"/>
        </w:rPr>
      </w:pPr>
      <w:bookmarkStart w:id="124" w:name="_Toc22822"/>
      <w:bookmarkStart w:id="125" w:name="_Toc435523674"/>
      <w:r>
        <w:rPr>
          <w:rFonts w:hint="eastAsia" w:ascii="宋体" w:hAnsi="宋体"/>
          <w:sz w:val="21"/>
          <w:szCs w:val="21"/>
        </w:rPr>
        <w:t>附件</w:t>
      </w:r>
      <w:bookmarkStart w:id="126" w:name="_Toc86202648"/>
      <w:bookmarkStart w:id="127" w:name="_Toc174185213"/>
      <w:bookmarkStart w:id="128" w:name="_Toc180051044"/>
      <w:r>
        <w:rPr>
          <w:rFonts w:hint="eastAsia" w:ascii="宋体" w:hAnsi="宋体"/>
          <w:sz w:val="21"/>
          <w:szCs w:val="21"/>
        </w:rPr>
        <w:t>九、商务条款偏离表</w:t>
      </w:r>
      <w:bookmarkEnd w:id="124"/>
      <w:bookmarkEnd w:id="125"/>
      <w:bookmarkEnd w:id="126"/>
      <w:bookmarkEnd w:id="127"/>
      <w:bookmarkEnd w:id="128"/>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9" w:name="_Toc20524"/>
      <w:r>
        <w:rPr>
          <w:rFonts w:hint="eastAsia" w:ascii="宋体" w:hAnsi="宋体"/>
          <w:szCs w:val="21"/>
        </w:rPr>
        <w:t>日期：    年     月     日</w:t>
      </w:r>
      <w:bookmarkEnd w:id="129"/>
    </w:p>
    <w:p/>
    <w:p/>
    <w:p/>
    <w:p/>
    <w:p/>
    <w:p/>
    <w:p/>
    <w:p/>
    <w:p/>
    <w:p/>
    <w:p/>
    <w:p>
      <w:pPr>
        <w:pStyle w:val="4"/>
        <w:rPr>
          <w:rFonts w:ascii="宋体" w:hAnsi="宋体"/>
          <w:sz w:val="21"/>
          <w:szCs w:val="21"/>
        </w:rPr>
      </w:pPr>
      <w:bookmarkStart w:id="130" w:name="_Toc435523677"/>
      <w:r>
        <w:rPr>
          <w:rFonts w:hint="eastAsia" w:ascii="宋体" w:hAnsi="宋体"/>
          <w:sz w:val="21"/>
          <w:szCs w:val="21"/>
        </w:rPr>
        <w:t>附件十、响应文件密封袋封皮格式</w:t>
      </w:r>
      <w:bookmarkEnd w:id="123"/>
      <w:r>
        <w:pict>
          <v:rect id="文本框 2" o:spid="_x0000_s1027" o:spt="1" style="position:absolute;left:0pt;margin-left:0pt;margin-top:54.6pt;height:561.6pt;width:450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">
            <v:path/>
            <v:fill focussize="0,0"/>
            <v:stroke weight="2pt"/>
            <v:imagedata o:title=""/>
            <o:lock v:ext="edit"/>
            <v:textbox>
              <w:txbxContent>
                <w:p>
                  <w:pPr>
                    <w:tabs>
                      <w:tab w:val="left" w:pos="1080"/>
                    </w:tabs>
                    <w:rPr>
                      <w:rFonts w:ascii="STZhongsong" w:hAnsi="STZhongsong" w:eastAsia="STZhongsong"/>
                      <w:b/>
                      <w:sz w:val="28"/>
                      <w:szCs w:val="28"/>
                    </w:rPr>
                  </w:pPr>
                  <w:r>
                    <w:rPr>
                      <w:rFonts w:hint="eastAsia" w:ascii="宋体" w:hAnsi="宋体"/>
                      <w:b/>
                      <w:sz w:val="28"/>
                      <w:szCs w:val="28"/>
                    </w:rPr>
                    <w:t>采购编号</w:t>
                  </w:r>
                  <w:r>
                    <w:rPr>
                      <w:rFonts w:hint="eastAsia" w:ascii="STZhongsong" w:hAnsi="STZhongsong" w:eastAsia="STZhongsong"/>
                      <w:b/>
                      <w:sz w:val="28"/>
                      <w:szCs w:val="28"/>
                    </w:rPr>
                    <w:t>：</w:t>
                  </w:r>
                </w:p>
                <w:p>
                  <w:pPr>
                    <w:tabs>
                      <w:tab w:val="left" w:pos="1080"/>
                    </w:tabs>
                    <w:jc w:val="center"/>
                    <w:rPr>
                      <w:rFonts w:ascii="STZhongsong" w:hAnsi="STZhongsong" w:eastAsia="STZhongsong"/>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在201</w:t>
                  </w:r>
                  <w:r>
                    <w:rPr>
                      <w:rFonts w:ascii="宋体" w:hAnsi="宋体"/>
                      <w:b/>
                      <w:spacing w:val="20"/>
                      <w:sz w:val="30"/>
                      <w:szCs w:val="30"/>
                    </w:rPr>
                    <w:t>9</w:t>
                  </w:r>
                  <w:r>
                    <w:rPr>
                      <w:rFonts w:hint="eastAsia" w:ascii="宋体" w:hAnsi="宋体"/>
                      <w:b/>
                      <w:spacing w:val="20"/>
                      <w:sz w:val="30"/>
                      <w:szCs w:val="30"/>
                    </w:rPr>
                    <w:t>年月日（开启时间）前不得启封</w:t>
                  </w:r>
                </w:p>
                <w:p>
                  <w:pPr>
                    <w:tabs>
                      <w:tab w:val="left" w:pos="1080"/>
                    </w:tabs>
                    <w:rPr>
                      <w:rFonts w:ascii="KaiTi_GB2312" w:eastAsia="KaiTi_GB2312"/>
                      <w:spacing w:val="20"/>
                      <w:sz w:val="28"/>
                      <w:szCs w:val="28"/>
                      <w:u w:val="single"/>
                    </w:rPr>
                  </w:pPr>
                </w:p>
                <w:p>
                  <w:pPr>
                    <w:tabs>
                      <w:tab w:val="left" w:pos="1080"/>
                    </w:tabs>
                    <w:ind w:right="640"/>
                    <w:rPr>
                      <w:rFonts w:ascii="KaiTi_GB2312" w:eastAsia="KaiTi_GB2312"/>
                      <w:spacing w:val="20"/>
                      <w:sz w:val="28"/>
                      <w:szCs w:val="28"/>
                      <w:u w:val="single"/>
                    </w:rPr>
                  </w:pPr>
                </w:p>
                <w:p>
                  <w:pPr>
                    <w:tabs>
                      <w:tab w:val="left" w:pos="1080"/>
                    </w:tabs>
                    <w:ind w:right="640"/>
                    <w:jc w:val="right"/>
                    <w:rPr>
                      <w:rFonts w:ascii="KaiTi_GB2312" w:eastAsia="KaiTi_GB2312"/>
                      <w:spacing w:val="20"/>
                      <w:sz w:val="28"/>
                      <w:szCs w:val="28"/>
                    </w:rPr>
                  </w:pPr>
                </w:p>
                <w:p>
                  <w:pPr>
                    <w:tabs>
                      <w:tab w:val="left" w:pos="1080"/>
                    </w:tabs>
                    <w:rPr>
                      <w:u w:val="single"/>
                    </w:rPr>
                  </w:pPr>
                </w:p>
              </w:txbxContent>
            </v:textbox>
          </v:rect>
        </w:pict>
      </w:r>
      <w:bookmarkEnd w:id="130"/>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31" w:name="_Toc225046252"/>
      <w:bookmarkStart w:id="132" w:name="_Toc1962"/>
      <w:bookmarkStart w:id="133" w:name="_Toc435523678"/>
      <w:r>
        <w:rPr>
          <w:rFonts w:hint="eastAsia" w:ascii="宋体" w:hAnsi="宋体"/>
          <w:sz w:val="21"/>
          <w:szCs w:val="21"/>
        </w:rPr>
        <w:t>附件十一、密封条格式</w:t>
      </w:r>
      <w:bookmarkEnd w:id="131"/>
      <w:bookmarkEnd w:id="132"/>
      <w:bookmarkEnd w:id="133"/>
    </w:p>
    <w:p>
      <w:pPr>
        <w:tabs>
          <w:tab w:val="left" w:pos="5101"/>
        </w:tabs>
        <w:jc w:val="left"/>
        <w:rPr>
          <w:rFonts w:ascii="宋体" w:hAnsi="宋体"/>
          <w:szCs w:val="21"/>
        </w:rPr>
      </w:pPr>
    </w:p>
    <w:p>
      <w:pPr>
        <w:pStyle w:val="4"/>
        <w:rPr>
          <w:rFonts w:ascii="宋体" w:hAnsi="宋体"/>
          <w:szCs w:val="21"/>
        </w:rPr>
      </w:pPr>
      <w:r>
        <w:pict>
          <v:rect id="文本框 3" o:spid="_x0000_s1026" o:spt="1" style="position:absolute;left:0pt;margin-left:-37.5pt;margin-top:78.05pt;height:157.55pt;width:70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">
            <v:path/>
            <v:fill focussize="0,0"/>
            <v:stroke/>
            <v:imagedata o:title=""/>
            <o:lock v:ext="edit"/>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w:r>
    </w:p>
    <w:sectPr>
      <w:footerReference r:id="rId14" w:type="first"/>
      <w:footerReference r:id="rId12" w:type="default"/>
      <w:footerReference r:id="rId13" w:type="even"/>
      <w:pgSz w:w="16838" w:h="11906" w:orient="landscape"/>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TZhongsong">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KaiTi_GB2312">
    <w:altName w:val="微软雅黑"/>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4</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23</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7064ED"/>
    <w:multiLevelType w:val="multilevel"/>
    <w:tmpl w:val="047064ED"/>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B333F2"/>
    <w:multiLevelType w:val="multilevel"/>
    <w:tmpl w:val="32B333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13B36"/>
    <w:rsid w:val="00020AD9"/>
    <w:rsid w:val="00021304"/>
    <w:rsid w:val="00021762"/>
    <w:rsid w:val="000241CB"/>
    <w:rsid w:val="00025199"/>
    <w:rsid w:val="00026F0C"/>
    <w:rsid w:val="00033353"/>
    <w:rsid w:val="000337A5"/>
    <w:rsid w:val="00041C2D"/>
    <w:rsid w:val="000551A2"/>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0490"/>
    <w:rsid w:val="001B6B53"/>
    <w:rsid w:val="001C69EC"/>
    <w:rsid w:val="001E29FB"/>
    <w:rsid w:val="001F08D6"/>
    <w:rsid w:val="001F756C"/>
    <w:rsid w:val="0022386D"/>
    <w:rsid w:val="00232A73"/>
    <w:rsid w:val="00232FA0"/>
    <w:rsid w:val="00245B91"/>
    <w:rsid w:val="00253FEA"/>
    <w:rsid w:val="00256DF2"/>
    <w:rsid w:val="00264731"/>
    <w:rsid w:val="0028492A"/>
    <w:rsid w:val="0029441A"/>
    <w:rsid w:val="002B062D"/>
    <w:rsid w:val="002B6F65"/>
    <w:rsid w:val="002B77AA"/>
    <w:rsid w:val="002C66F7"/>
    <w:rsid w:val="002C6B99"/>
    <w:rsid w:val="002D5D09"/>
    <w:rsid w:val="002E4711"/>
    <w:rsid w:val="002E6FE4"/>
    <w:rsid w:val="002F1C2F"/>
    <w:rsid w:val="002F3F55"/>
    <w:rsid w:val="003121D2"/>
    <w:rsid w:val="003343B8"/>
    <w:rsid w:val="00357805"/>
    <w:rsid w:val="00360CE9"/>
    <w:rsid w:val="00371151"/>
    <w:rsid w:val="00376EE1"/>
    <w:rsid w:val="00380DB8"/>
    <w:rsid w:val="003834F0"/>
    <w:rsid w:val="003844F1"/>
    <w:rsid w:val="003B6A7F"/>
    <w:rsid w:val="003E37A5"/>
    <w:rsid w:val="003E4B91"/>
    <w:rsid w:val="003F0656"/>
    <w:rsid w:val="003F3F95"/>
    <w:rsid w:val="004064DC"/>
    <w:rsid w:val="004167DE"/>
    <w:rsid w:val="00426808"/>
    <w:rsid w:val="004268C7"/>
    <w:rsid w:val="00437A4C"/>
    <w:rsid w:val="00441C6C"/>
    <w:rsid w:val="004665EA"/>
    <w:rsid w:val="00470DDE"/>
    <w:rsid w:val="004770D9"/>
    <w:rsid w:val="004A51D6"/>
    <w:rsid w:val="004B62CE"/>
    <w:rsid w:val="004C3813"/>
    <w:rsid w:val="004C475E"/>
    <w:rsid w:val="004D218A"/>
    <w:rsid w:val="004E1FAC"/>
    <w:rsid w:val="004F26AD"/>
    <w:rsid w:val="00510F32"/>
    <w:rsid w:val="00524A7C"/>
    <w:rsid w:val="00532BC5"/>
    <w:rsid w:val="00541788"/>
    <w:rsid w:val="00551213"/>
    <w:rsid w:val="00557F57"/>
    <w:rsid w:val="00563319"/>
    <w:rsid w:val="00566F2B"/>
    <w:rsid w:val="005843CD"/>
    <w:rsid w:val="00590BB3"/>
    <w:rsid w:val="005B6849"/>
    <w:rsid w:val="005C0308"/>
    <w:rsid w:val="005E2992"/>
    <w:rsid w:val="005F12BB"/>
    <w:rsid w:val="00611D65"/>
    <w:rsid w:val="00625B23"/>
    <w:rsid w:val="00635AF2"/>
    <w:rsid w:val="006370B6"/>
    <w:rsid w:val="006400F4"/>
    <w:rsid w:val="00657327"/>
    <w:rsid w:val="00676362"/>
    <w:rsid w:val="006A1EE5"/>
    <w:rsid w:val="006A2DF8"/>
    <w:rsid w:val="006B0533"/>
    <w:rsid w:val="006D7DE3"/>
    <w:rsid w:val="006E706C"/>
    <w:rsid w:val="006F76C4"/>
    <w:rsid w:val="00700FFF"/>
    <w:rsid w:val="00726568"/>
    <w:rsid w:val="007451DC"/>
    <w:rsid w:val="00786545"/>
    <w:rsid w:val="007B16C5"/>
    <w:rsid w:val="007B4EA7"/>
    <w:rsid w:val="007C119F"/>
    <w:rsid w:val="007D71CB"/>
    <w:rsid w:val="007E0E38"/>
    <w:rsid w:val="007E1CB8"/>
    <w:rsid w:val="007E5618"/>
    <w:rsid w:val="007F413F"/>
    <w:rsid w:val="007F635C"/>
    <w:rsid w:val="0080502D"/>
    <w:rsid w:val="00850C69"/>
    <w:rsid w:val="0085313A"/>
    <w:rsid w:val="00857E78"/>
    <w:rsid w:val="0088097E"/>
    <w:rsid w:val="008A00A4"/>
    <w:rsid w:val="008A36E9"/>
    <w:rsid w:val="008B57A8"/>
    <w:rsid w:val="008D0D8B"/>
    <w:rsid w:val="008E67A3"/>
    <w:rsid w:val="00905000"/>
    <w:rsid w:val="009868D0"/>
    <w:rsid w:val="009A69D2"/>
    <w:rsid w:val="009C4B43"/>
    <w:rsid w:val="009D1B12"/>
    <w:rsid w:val="009D7822"/>
    <w:rsid w:val="009E699B"/>
    <w:rsid w:val="00A52D78"/>
    <w:rsid w:val="00A67933"/>
    <w:rsid w:val="00A72C83"/>
    <w:rsid w:val="00A76BB2"/>
    <w:rsid w:val="00A861E0"/>
    <w:rsid w:val="00AB4C71"/>
    <w:rsid w:val="00AD032D"/>
    <w:rsid w:val="00AD096E"/>
    <w:rsid w:val="00B01E99"/>
    <w:rsid w:val="00B048CD"/>
    <w:rsid w:val="00B12E2F"/>
    <w:rsid w:val="00B22A6B"/>
    <w:rsid w:val="00B71951"/>
    <w:rsid w:val="00B819D3"/>
    <w:rsid w:val="00B82728"/>
    <w:rsid w:val="00B864BC"/>
    <w:rsid w:val="00B94B19"/>
    <w:rsid w:val="00BA7B59"/>
    <w:rsid w:val="00BC27F6"/>
    <w:rsid w:val="00BD5E91"/>
    <w:rsid w:val="00C26376"/>
    <w:rsid w:val="00C514B6"/>
    <w:rsid w:val="00C5443B"/>
    <w:rsid w:val="00C6513B"/>
    <w:rsid w:val="00C725A5"/>
    <w:rsid w:val="00C92B58"/>
    <w:rsid w:val="00CA3DAC"/>
    <w:rsid w:val="00CC2BDA"/>
    <w:rsid w:val="00CC764B"/>
    <w:rsid w:val="00CD29DE"/>
    <w:rsid w:val="00CD3FEC"/>
    <w:rsid w:val="00CE1F8B"/>
    <w:rsid w:val="00CE324F"/>
    <w:rsid w:val="00CF1346"/>
    <w:rsid w:val="00D0005E"/>
    <w:rsid w:val="00D05F00"/>
    <w:rsid w:val="00D117DA"/>
    <w:rsid w:val="00D17DC3"/>
    <w:rsid w:val="00D36C5A"/>
    <w:rsid w:val="00D4159C"/>
    <w:rsid w:val="00D4789B"/>
    <w:rsid w:val="00D541A6"/>
    <w:rsid w:val="00D564FB"/>
    <w:rsid w:val="00D61085"/>
    <w:rsid w:val="00D64493"/>
    <w:rsid w:val="00D85310"/>
    <w:rsid w:val="00DA1BE6"/>
    <w:rsid w:val="00DA5C79"/>
    <w:rsid w:val="00DC241D"/>
    <w:rsid w:val="00DC30FF"/>
    <w:rsid w:val="00E01CBF"/>
    <w:rsid w:val="00E269B4"/>
    <w:rsid w:val="00E7588D"/>
    <w:rsid w:val="00E8458B"/>
    <w:rsid w:val="00E86C6E"/>
    <w:rsid w:val="00EB03CD"/>
    <w:rsid w:val="00EC0B1A"/>
    <w:rsid w:val="00EC2C90"/>
    <w:rsid w:val="00ED4864"/>
    <w:rsid w:val="00F009FC"/>
    <w:rsid w:val="00F1030D"/>
    <w:rsid w:val="00F12547"/>
    <w:rsid w:val="00F14160"/>
    <w:rsid w:val="00F2226C"/>
    <w:rsid w:val="00F270BB"/>
    <w:rsid w:val="00F33BEE"/>
    <w:rsid w:val="00F636A1"/>
    <w:rsid w:val="00F86021"/>
    <w:rsid w:val="00F94BD0"/>
    <w:rsid w:val="00FE6A2F"/>
    <w:rsid w:val="17CB20B2"/>
    <w:rsid w:val="1C040D85"/>
    <w:rsid w:val="2E083F5D"/>
    <w:rsid w:val="571F057D"/>
    <w:rsid w:val="5E7315BF"/>
    <w:rsid w:val="6DF00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qFormat/>
    <w:uiPriority w:val="0"/>
    <w:pPr>
      <w:jc w:val="left"/>
    </w:pPr>
  </w:style>
  <w:style w:type="paragraph" w:styleId="14">
    <w:name w:val="Body Text"/>
    <w:basedOn w:val="1"/>
    <w:qFormat/>
    <w:uiPriority w:val="0"/>
    <w:pPr>
      <w:spacing w:after="12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qFormat/>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annotation subject"/>
    <w:basedOn w:val="13"/>
    <w:next w:val="13"/>
    <w:link w:val="110"/>
    <w:semiHidden/>
    <w:unhideWhenUsed/>
    <w:qFormat/>
    <w:uiPriority w:val="99"/>
    <w:rPr>
      <w:b/>
      <w:bCs/>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uiPriority w:val="0"/>
    <w:rPr>
      <w:b/>
      <w:bCs/>
    </w:rPr>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nhideWhenUsed/>
    <w:qFormat/>
    <w:uiPriority w:val="99"/>
    <w:rPr>
      <w:sz w:val="21"/>
      <w:szCs w:val="21"/>
    </w:rPr>
  </w:style>
  <w:style w:type="character" w:customStyle="1" w:styleId="34">
    <w:name w:val="页码1"/>
    <w:basedOn w:val="29"/>
    <w:uiPriority w:val="0"/>
  </w:style>
  <w:style w:type="character" w:customStyle="1" w:styleId="35">
    <w:name w:val="正文文本 2 Char"/>
    <w:link w:val="36"/>
    <w:uiPriority w:val="0"/>
    <w:rPr>
      <w:kern w:val="2"/>
      <w:sz w:val="21"/>
      <w:szCs w:val="24"/>
    </w:rPr>
  </w:style>
  <w:style w:type="paragraph" w:customStyle="1" w:styleId="36">
    <w:name w:val="正文文本 21"/>
    <w:basedOn w:val="1"/>
    <w:link w:val="35"/>
    <w:qFormat/>
    <w:uiPriority w:val="0"/>
    <w:pPr>
      <w:spacing w:after="120" w:line="480" w:lineRule="auto"/>
    </w:pPr>
    <w:rPr>
      <w:szCs w:val="24"/>
    </w:rPr>
  </w:style>
  <w:style w:type="character" w:customStyle="1" w:styleId="37">
    <w:name w:val="纯文本 Char"/>
    <w:link w:val="38"/>
    <w:uiPriority w:val="0"/>
    <w:rPr>
      <w:rFonts w:ascii="宋体" w:hAnsi="Courier New" w:eastAsia="宋体"/>
      <w:kern w:val="2"/>
      <w:sz w:val="21"/>
      <w:lang w:val="en-US" w:eastAsia="zh-CN"/>
    </w:rPr>
  </w:style>
  <w:style w:type="paragraph" w:customStyle="1" w:styleId="38">
    <w:name w:val="纯文本1"/>
    <w:basedOn w:val="1"/>
    <w:link w:val="37"/>
    <w:qFormat/>
    <w:uiPriority w:val="0"/>
    <w:rPr>
      <w:rFonts w:ascii="宋体" w:hAnsi="Courier New"/>
    </w:rPr>
  </w:style>
  <w:style w:type="character" w:customStyle="1" w:styleId="39">
    <w:name w:val="样式1 Char Char"/>
    <w:uiPriority w:val="0"/>
    <w:rPr>
      <w:rFonts w:ascii="宋体" w:hAnsi="宋体" w:eastAsia="宋体"/>
      <w:sz w:val="21"/>
      <w:szCs w:val="21"/>
      <w:lang w:val="en-US" w:eastAsia="zh-CN"/>
    </w:rPr>
  </w:style>
  <w:style w:type="character" w:customStyle="1" w:styleId="40">
    <w:name w:val="正文缩进 Char"/>
    <w:link w:val="41"/>
    <w:uiPriority w:val="0"/>
    <w:rPr>
      <w:rFonts w:eastAsia="宋体"/>
      <w:kern w:val="2"/>
      <w:sz w:val="21"/>
      <w:szCs w:val="24"/>
      <w:lang w:val="en-US" w:eastAsia="zh-CN"/>
    </w:rPr>
  </w:style>
  <w:style w:type="paragraph" w:customStyle="1" w:styleId="41">
    <w:name w:val="正文缩进1"/>
    <w:basedOn w:val="1"/>
    <w:link w:val="40"/>
    <w:qFormat/>
    <w:uiPriority w:val="0"/>
    <w:pPr>
      <w:ind w:firstLine="420"/>
    </w:pPr>
    <w:rPr>
      <w:szCs w:val="24"/>
    </w:rPr>
  </w:style>
  <w:style w:type="character" w:customStyle="1" w:styleId="42">
    <w:name w:val="Heading 3 Char"/>
    <w:link w:val="4"/>
    <w:uiPriority w:val="0"/>
    <w:rPr>
      <w:rFonts w:ascii="Times New Roman" w:hAnsi="Times New Roman" w:eastAsia="宋体"/>
      <w:b/>
      <w:bCs/>
      <w:sz w:val="24"/>
      <w:szCs w:val="32"/>
    </w:rPr>
  </w:style>
  <w:style w:type="character" w:customStyle="1" w:styleId="43">
    <w:name w:val="Header Char"/>
    <w:link w:val="20"/>
    <w:uiPriority w:val="0"/>
    <w:rPr>
      <w:kern w:val="2"/>
      <w:sz w:val="18"/>
      <w:szCs w:val="18"/>
    </w:rPr>
  </w:style>
  <w:style w:type="character" w:customStyle="1" w:styleId="44">
    <w:name w:val="Heading 2 Char"/>
    <w:link w:val="3"/>
    <w:qFormat/>
    <w:uiPriority w:val="0"/>
    <w:rPr>
      <w:rFonts w:ascii="Arial" w:hAnsi="Arial" w:eastAsia="宋体"/>
      <w:b/>
      <w:bCs/>
      <w:sz w:val="24"/>
      <w:szCs w:val="32"/>
    </w:rPr>
  </w:style>
  <w:style w:type="character" w:customStyle="1" w:styleId="45">
    <w:name w:val="Footer Char"/>
    <w:link w:val="19"/>
    <w:qFormat/>
    <w:uiPriority w:val="0"/>
    <w:rPr>
      <w:kern w:val="2"/>
      <w:sz w:val="18"/>
      <w:szCs w:val="18"/>
    </w:rPr>
  </w:style>
  <w:style w:type="character" w:customStyle="1" w:styleId="46">
    <w:name w:val="postbody1"/>
    <w:qFormat/>
    <w:uiPriority w:val="0"/>
    <w:rPr>
      <w:sz w:val="21"/>
      <w:szCs w:val="21"/>
    </w:rPr>
  </w:style>
  <w:style w:type="character" w:customStyle="1" w:styleId="47">
    <w:name w:val="批注引用1"/>
    <w:qFormat/>
    <w:uiPriority w:val="0"/>
    <w:rPr>
      <w:sz w:val="21"/>
      <w:szCs w:val="21"/>
    </w:rPr>
  </w:style>
  <w:style w:type="character" w:customStyle="1" w:styleId="48">
    <w:name w:val="px_10"/>
    <w:basedOn w:val="29"/>
    <w:qFormat/>
    <w:uiPriority w:val="0"/>
  </w:style>
  <w:style w:type="character" w:customStyle="1" w:styleId="49">
    <w:name w:val="页码11"/>
    <w:qFormat/>
    <w:uiPriority w:val="0"/>
    <w:rPr>
      <w:rFonts w:cs="Times New Roman"/>
    </w:rPr>
  </w:style>
  <w:style w:type="character" w:customStyle="1" w:styleId="50">
    <w:name w:val="datacell"/>
    <w:basedOn w:val="29"/>
    <w:qFormat/>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qFormat/>
    <w:uiPriority w:val="0"/>
    <w:pPr>
      <w:spacing w:before="240"/>
    </w:pPr>
  </w:style>
  <w:style w:type="paragraph" w:customStyle="1" w:styleId="53">
    <w:name w:val="样式 样式 标题 2 + 宋体 五号 非加粗 黑色 + 段前: 6 磅 段后: 0 磅 行距: 单倍行距"/>
    <w:basedOn w:val="54"/>
    <w:qFormat/>
    <w:uiPriority w:val="0"/>
    <w:pPr>
      <w:spacing w:before="120" w:line="240" w:lineRule="auto"/>
    </w:pPr>
    <w:rPr>
      <w:rFonts w:cs="宋体"/>
      <w:szCs w:val="20"/>
    </w:rPr>
  </w:style>
  <w:style w:type="paragraph" w:customStyle="1" w:styleId="54">
    <w:name w:val="样式 标题 2 + 宋体 五号 非加粗 黑色"/>
    <w:basedOn w:val="3"/>
    <w:qFormat/>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qFormat/>
    <w:uiPriority w:val="0"/>
    <w:pPr>
      <w:tabs>
        <w:tab w:val="left" w:pos="6030"/>
      </w:tabs>
    </w:pPr>
  </w:style>
  <w:style w:type="paragraph" w:customStyle="1" w:styleId="56">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57">
    <w:name w:val="列表1"/>
    <w:basedOn w:val="1"/>
    <w:qFormat/>
    <w:uiPriority w:val="0"/>
    <w:pPr>
      <w:ind w:left="200" w:hanging="200"/>
    </w:pPr>
  </w:style>
  <w:style w:type="paragraph" w:customStyle="1" w:styleId="58">
    <w:name w:val="正文文本缩进 31"/>
    <w:basedOn w:val="1"/>
    <w:qFormat/>
    <w:uiPriority w:val="0"/>
    <w:pPr>
      <w:spacing w:line="0" w:lineRule="atLeast"/>
      <w:ind w:firstLine="533" w:firstLineChars="222"/>
    </w:pPr>
    <w:rPr>
      <w:sz w:val="24"/>
      <w:shd w:val="pct10" w:color="auto" w:fill="FFFFFF"/>
    </w:rPr>
  </w:style>
  <w:style w:type="paragraph" w:customStyle="1" w:styleId="59">
    <w:name w:val="列出段落2"/>
    <w:basedOn w:val="1"/>
    <w:qFormat/>
    <w:uiPriority w:val="0"/>
    <w:pPr>
      <w:ind w:firstLine="420" w:firstLineChars="200"/>
    </w:pPr>
  </w:style>
  <w:style w:type="paragraph" w:customStyle="1" w:styleId="60">
    <w:name w:val="_Style 12"/>
    <w:basedOn w:val="61"/>
    <w:qFormat/>
    <w:uiPriority w:val="0"/>
    <w:pPr>
      <w:widowControl/>
      <w:adjustRightInd w:val="0"/>
      <w:snapToGrid w:val="0"/>
      <w:spacing w:line="360" w:lineRule="auto"/>
      <w:jc w:val="left"/>
    </w:pPr>
    <w:rPr>
      <w:kern w:val="0"/>
      <w:sz w:val="24"/>
      <w:szCs w:val="24"/>
    </w:rPr>
  </w:style>
  <w:style w:type="paragraph" w:customStyle="1" w:styleId="61">
    <w:name w:val="文档结构图1"/>
    <w:basedOn w:val="1"/>
    <w:qFormat/>
    <w:uiPriority w:val="0"/>
    <w:pPr>
      <w:shd w:val="clear" w:color="auto" w:fill="000080"/>
    </w:pPr>
  </w:style>
  <w:style w:type="paragraph" w:customStyle="1" w:styleId="62">
    <w:name w:val="引文目录标题1"/>
    <w:basedOn w:val="1"/>
    <w:next w:val="1"/>
    <w:qFormat/>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qFormat/>
    <w:uiPriority w:val="0"/>
    <w:pPr>
      <w:widowControl/>
      <w:overflowPunct w:val="0"/>
      <w:autoSpaceDE w:val="0"/>
      <w:autoSpaceDN w:val="0"/>
      <w:adjustRightInd w:val="0"/>
      <w:jc w:val="left"/>
      <w:textAlignment w:val="baseline"/>
    </w:pPr>
    <w:rPr>
      <w:rFonts w:eastAsia="FangSong_GB2312"/>
      <w:kern w:val="0"/>
      <w:sz w:val="24"/>
    </w:rPr>
  </w:style>
  <w:style w:type="paragraph" w:customStyle="1" w:styleId="64">
    <w:name w:val="样式 样式 标题 5 + 段前: 5 磅 段后: 5 磅 行距: 单倍行距 + 五号"/>
    <w:basedOn w:val="65"/>
    <w:qFormat/>
    <w:uiPriority w:val="0"/>
    <w:rPr>
      <w:sz w:val="21"/>
    </w:rPr>
  </w:style>
  <w:style w:type="paragraph" w:customStyle="1" w:styleId="65">
    <w:name w:val="样式 标题 5 + 段前: 5 磅 段后: 5 磅 行距: 单倍行距"/>
    <w:basedOn w:val="6"/>
    <w:qFormat/>
    <w:uiPriority w:val="0"/>
    <w:pPr>
      <w:spacing w:before="100" w:after="100" w:line="240" w:lineRule="auto"/>
    </w:pPr>
    <w:rPr>
      <w:rFonts w:cs="宋体"/>
      <w:szCs w:val="20"/>
    </w:rPr>
  </w:style>
  <w:style w:type="paragraph" w:customStyle="1" w:styleId="66">
    <w:name w:val="样式2"/>
    <w:basedOn w:val="1"/>
    <w:qFormat/>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qFormat/>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qFormat/>
    <w:uiPriority w:val="0"/>
    <w:rPr>
      <w:rFonts w:ascii="宋体" w:hAnsi="宋体" w:cs="Courier New"/>
      <w:sz w:val="32"/>
      <w:szCs w:val="32"/>
    </w:rPr>
  </w:style>
  <w:style w:type="paragraph" w:customStyle="1" w:styleId="69">
    <w:name w:val="缺省文本"/>
    <w:basedOn w:val="1"/>
    <w:qFormat/>
    <w:uiPriority w:val="0"/>
    <w:pPr>
      <w:widowControl/>
      <w:overflowPunct w:val="0"/>
      <w:autoSpaceDE w:val="0"/>
      <w:autoSpaceDN w:val="0"/>
      <w:adjustRightInd w:val="0"/>
      <w:spacing w:line="360" w:lineRule="auto"/>
      <w:ind w:firstLine="720"/>
      <w:textAlignment w:val="baseline"/>
    </w:pPr>
    <w:rPr>
      <w:rFonts w:ascii="宋体" w:eastAsia="FangSong_GB2312"/>
      <w:kern w:val="0"/>
      <w:sz w:val="28"/>
    </w:rPr>
  </w:style>
  <w:style w:type="paragraph" w:customStyle="1" w:styleId="70">
    <w:name w:val="样式 宋体 五号 两端对齐 行距: 单倍行距1"/>
    <w:basedOn w:val="1"/>
    <w:qFormat/>
    <w:uiPriority w:val="0"/>
    <w:pPr>
      <w:adjustRightInd w:val="0"/>
      <w:textAlignment w:val="baseline"/>
    </w:pPr>
    <w:rPr>
      <w:rFonts w:ascii="宋体" w:hAnsi="宋体" w:cs="宋体"/>
      <w:kern w:val="0"/>
    </w:rPr>
  </w:style>
  <w:style w:type="paragraph" w:customStyle="1" w:styleId="71">
    <w:name w:val="Char4"/>
    <w:basedOn w:val="61"/>
    <w:qFormat/>
    <w:uiPriority w:val="0"/>
  </w:style>
  <w:style w:type="paragraph" w:customStyle="1" w:styleId="72">
    <w:name w:val="列表 21"/>
    <w:basedOn w:val="1"/>
    <w:qFormat/>
    <w:uiPriority w:val="0"/>
    <w:pPr>
      <w:ind w:left="100" w:hanging="200"/>
    </w:pPr>
  </w:style>
  <w:style w:type="paragraph" w:customStyle="1" w:styleId="73">
    <w:name w:val="PMletterTextBullet"/>
    <w:basedOn w:val="74"/>
    <w:qFormat/>
    <w:uiPriority w:val="0"/>
    <w:pPr>
      <w:tabs>
        <w:tab w:val="left" w:pos="1800"/>
      </w:tabs>
      <w:ind w:left="1800" w:hanging="360"/>
    </w:pPr>
  </w:style>
  <w:style w:type="paragraph" w:customStyle="1" w:styleId="74">
    <w:name w:val="PMletterText"/>
    <w:basedOn w:val="75"/>
    <w:qFormat/>
    <w:uiPriority w:val="0"/>
    <w:pPr>
      <w:spacing w:before="240"/>
      <w:ind w:left="720"/>
    </w:pPr>
  </w:style>
  <w:style w:type="paragraph" w:customStyle="1" w:styleId="75">
    <w:name w:val="PMstyle"/>
    <w:qFormat/>
    <w:uiPriority w:val="0"/>
    <w:rPr>
      <w:rFonts w:ascii="Tahoma" w:hAnsi="Tahoma" w:eastAsia="宋体" w:cs="Times New Roman"/>
      <w:sz w:val="22"/>
      <w:lang w:val="en-US" w:eastAsia="zh-CN" w:bidi="ar-SA"/>
    </w:rPr>
  </w:style>
  <w:style w:type="paragraph" w:customStyle="1" w:styleId="76">
    <w:name w:val="g2"/>
    <w:basedOn w:val="1"/>
    <w:qFormat/>
    <w:uiPriority w:val="0"/>
    <w:pPr>
      <w:widowControl/>
      <w:spacing w:before="100" w:beforeAutospacing="1" w:after="100" w:afterAutospacing="1"/>
      <w:jc w:val="left"/>
    </w:pPr>
    <w:rPr>
      <w:rFonts w:ascii="FangSong_GB2312" w:hAnsi="宋体" w:eastAsia="FangSong_GB2312" w:cs="宋体"/>
      <w:kern w:val="0"/>
      <w:sz w:val="33"/>
      <w:szCs w:val="33"/>
    </w:rPr>
  </w:style>
  <w:style w:type="paragraph" w:customStyle="1" w:styleId="77">
    <w:name w:val="Body Text 21"/>
    <w:basedOn w:val="1"/>
    <w:qFormat/>
    <w:uiPriority w:val="0"/>
    <w:pPr>
      <w:adjustRightInd w:val="0"/>
      <w:spacing w:before="240" w:line="400" w:lineRule="exact"/>
      <w:ind w:firstLine="357"/>
      <w:textAlignment w:val="baseline"/>
    </w:pPr>
    <w:rPr>
      <w:sz w:val="28"/>
    </w:rPr>
  </w:style>
  <w:style w:type="paragraph" w:customStyle="1" w:styleId="78">
    <w:name w:val="g11"/>
    <w:basedOn w:val="1"/>
    <w:qFormat/>
    <w:uiPriority w:val="0"/>
    <w:pPr>
      <w:widowControl/>
      <w:spacing w:before="100" w:beforeAutospacing="1" w:after="100" w:afterAutospacing="1" w:line="900" w:lineRule="atLeast"/>
      <w:jc w:val="left"/>
    </w:pPr>
    <w:rPr>
      <w:rFonts w:ascii="STZhongsong" w:hAnsi="STZhongsong" w:eastAsia="STZhongsong" w:cs="宋体"/>
      <w:b/>
      <w:bCs/>
      <w:color w:val="FF0000"/>
      <w:kern w:val="0"/>
      <w:sz w:val="60"/>
      <w:szCs w:val="60"/>
    </w:rPr>
  </w:style>
  <w:style w:type="paragraph" w:customStyle="1" w:styleId="79">
    <w:name w:val="索引 11"/>
    <w:basedOn w:val="1"/>
    <w:next w:val="1"/>
    <w:qFormat/>
    <w:uiPriority w:val="0"/>
    <w:pPr>
      <w:spacing w:line="360" w:lineRule="auto"/>
      <w:ind w:firstLine="426" w:firstLineChars="206"/>
    </w:pPr>
    <w:rPr>
      <w:b/>
      <w:bCs/>
    </w:rPr>
  </w:style>
  <w:style w:type="paragraph" w:customStyle="1" w:styleId="80">
    <w:name w:val="列表接续1"/>
    <w:basedOn w:val="1"/>
    <w:qFormat/>
    <w:uiPriority w:val="0"/>
    <w:pPr>
      <w:spacing w:after="120"/>
      <w:ind w:left="420"/>
    </w:pPr>
  </w:style>
  <w:style w:type="paragraph" w:customStyle="1" w:styleId="81">
    <w:name w:val="样式 标题 3h3H3sect1.2.3 + 五号 段前: 6 磅 段后: 6 磅 行距: 单倍行距"/>
    <w:basedOn w:val="4"/>
    <w:qFormat/>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qFormat/>
    <w:uiPriority w:val="0"/>
    <w:pPr>
      <w:adjustRightInd w:val="0"/>
      <w:spacing w:line="360" w:lineRule="atLeast"/>
      <w:textAlignment w:val="baseline"/>
    </w:pPr>
    <w:rPr>
      <w:kern w:val="0"/>
      <w:sz w:val="28"/>
    </w:rPr>
  </w:style>
  <w:style w:type="paragraph" w:customStyle="1" w:styleId="83">
    <w:name w:val="正文文本缩进 21"/>
    <w:basedOn w:val="1"/>
    <w:qFormat/>
    <w:uiPriority w:val="0"/>
    <w:pPr>
      <w:spacing w:after="120" w:line="480" w:lineRule="auto"/>
      <w:ind w:left="420" w:leftChars="200"/>
    </w:pPr>
  </w:style>
  <w:style w:type="paragraph" w:customStyle="1" w:styleId="84">
    <w:name w:val="正文文本缩进1"/>
    <w:basedOn w:val="1"/>
    <w:qFormat/>
    <w:uiPriority w:val="0"/>
    <w:pPr>
      <w:spacing w:before="80" w:after="80"/>
      <w:ind w:left="909" w:leftChars="433"/>
    </w:pPr>
    <w:rPr>
      <w:sz w:val="24"/>
      <w:shd w:val="pct10" w:color="auto" w:fill="FFFFFF"/>
    </w:rPr>
  </w:style>
  <w:style w:type="paragraph" w:customStyle="1" w:styleId="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qFormat/>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88">
    <w:name w:val="批注主题1"/>
    <w:basedOn w:val="13"/>
    <w:next w:val="13"/>
    <w:qFormat/>
    <w:uiPriority w:val="0"/>
    <w:rPr>
      <w:b/>
      <w:bCs/>
    </w:rPr>
  </w:style>
  <w:style w:type="paragraph" w:customStyle="1" w:styleId="89">
    <w:name w:val="PMtextBullet"/>
    <w:basedOn w:val="75"/>
    <w:qFormat/>
    <w:uiPriority w:val="0"/>
    <w:pPr>
      <w:tabs>
        <w:tab w:val="left" w:pos="2520"/>
      </w:tabs>
      <w:spacing w:after="200"/>
      <w:ind w:left="2520" w:hanging="720"/>
    </w:pPr>
  </w:style>
  <w:style w:type="paragraph" w:customStyle="1" w:styleId="90">
    <w:name w:val="样式 标题 2 + 宋体 五号 行距: 单倍行距"/>
    <w:basedOn w:val="3"/>
    <w:qFormat/>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qFormat/>
    <w:uiPriority w:val="0"/>
    <w:pPr>
      <w:adjustRightInd w:val="0"/>
      <w:ind w:left="720" w:hanging="720"/>
      <w:textAlignment w:val="baseline"/>
    </w:pPr>
    <w:rPr>
      <w:b/>
      <w:sz w:val="28"/>
    </w:rPr>
  </w:style>
  <w:style w:type="paragraph" w:customStyle="1" w:styleId="9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qFormat/>
    <w:uiPriority w:val="0"/>
    <w:pPr>
      <w:ind w:firstLine="420" w:firstLineChars="200"/>
    </w:pPr>
  </w:style>
  <w:style w:type="paragraph" w:customStyle="1" w:styleId="94">
    <w:name w:val="列出段落11"/>
    <w:basedOn w:val="1"/>
    <w:qFormat/>
    <w:uiPriority w:val="0"/>
    <w:pPr>
      <w:ind w:firstLine="420" w:firstLineChars="200"/>
    </w:pPr>
  </w:style>
  <w:style w:type="paragraph" w:customStyle="1" w:styleId="95">
    <w:name w:val="样式 标题 4 + 段前: 5 磅 段后: 5 磅 行距: 单倍行距"/>
    <w:basedOn w:val="5"/>
    <w:qFormat/>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qFormat/>
    <w:uiPriority w:val="0"/>
    <w:rPr>
      <w:rFonts w:ascii="Tahoma" w:hAnsi="Tahoma"/>
      <w:sz w:val="24"/>
    </w:rPr>
  </w:style>
  <w:style w:type="paragraph" w:customStyle="1" w:styleId="97">
    <w:name w:val="样式 样式 标题 4 + 段前: 5 磅 段后: 5 磅 行距: 单倍行距 + 五号"/>
    <w:basedOn w:val="95"/>
    <w:qFormat/>
    <w:uiPriority w:val="0"/>
    <w:rPr>
      <w:sz w:val="21"/>
    </w:rPr>
  </w:style>
  <w:style w:type="paragraph" w:customStyle="1" w:styleId="98">
    <w:name w:val="Char1"/>
    <w:basedOn w:val="1"/>
    <w:qFormat/>
    <w:uiPriority w:val="0"/>
    <w:rPr>
      <w:rFonts w:ascii="宋体" w:hAnsi="宋体" w:cs="Courier New"/>
      <w:sz w:val="32"/>
      <w:szCs w:val="32"/>
    </w:rPr>
  </w:style>
  <w:style w:type="paragraph" w:customStyle="1" w:styleId="99">
    <w:name w:val="xl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qFormat/>
    <w:uiPriority w:val="0"/>
    <w:pPr>
      <w:widowControl/>
      <w:spacing w:before="100" w:beforeAutospacing="1" w:after="100" w:afterAutospacing="1" w:line="675" w:lineRule="atLeast"/>
      <w:jc w:val="left"/>
    </w:pPr>
    <w:rPr>
      <w:rFonts w:ascii="STZhongsong" w:hAnsi="STZhongsong" w:eastAsia="STZhongsong" w:cs="宋体"/>
      <w:kern w:val="0"/>
      <w:sz w:val="32"/>
      <w:szCs w:val="32"/>
    </w:rPr>
  </w:style>
  <w:style w:type="paragraph" w:customStyle="1" w:styleId="101">
    <w:name w:val="纯文本11"/>
    <w:basedOn w:val="1"/>
    <w:qFormat/>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qFormat/>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List Paragraph Char"/>
    <w:link w:val="104"/>
    <w:qFormat/>
    <w:locked/>
    <w:uiPriority w:val="34"/>
    <w:rPr>
      <w:rFonts w:ascii="Calibri" w:hAnsi="Calibri"/>
      <w:kern w:val="2"/>
      <w:sz w:val="21"/>
      <w:szCs w:val="21"/>
    </w:rPr>
  </w:style>
  <w:style w:type="character" w:customStyle="1" w:styleId="106">
    <w:name w:val="Caption Char"/>
    <w:link w:val="12"/>
    <w:qFormat/>
    <w:uiPriority w:val="35"/>
    <w:rPr>
      <w:rFonts w:ascii="黑体" w:hAnsi="黑体"/>
      <w:kern w:val="2"/>
    </w:rPr>
  </w:style>
  <w:style w:type="paragraph" w:customStyle="1" w:styleId="107">
    <w:name w:val="0正文首缩2"/>
    <w:basedOn w:val="1"/>
    <w:link w:val="108"/>
    <w:qFormat/>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qFormat/>
    <w:uiPriority w:val="0"/>
    <w:rPr>
      <w:color w:val="000000"/>
      <w:sz w:val="24"/>
      <w:szCs w:val="28"/>
    </w:rPr>
  </w:style>
  <w:style w:type="character" w:customStyle="1" w:styleId="109">
    <w:name w:val="Comment Text Char"/>
    <w:link w:val="13"/>
    <w:qFormat/>
    <w:uiPriority w:val="0"/>
    <w:rPr>
      <w:kern w:val="2"/>
      <w:sz w:val="21"/>
    </w:rPr>
  </w:style>
  <w:style w:type="character" w:customStyle="1" w:styleId="110">
    <w:name w:val="Comment Subject Char"/>
    <w:basedOn w:val="109"/>
    <w:link w:val="26"/>
    <w:qFormat/>
    <w:uiPriority w:val="0"/>
    <w:rPr>
      <w:kern w:val="2"/>
      <w:sz w:val="21"/>
    </w:rPr>
  </w:style>
  <w:style w:type="paragraph" w:customStyle="1" w:styleId="11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B32E7-8FCE-E249-B001-D0A57EA9172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1303</Words>
  <Characters>7428</Characters>
  <Lines>61</Lines>
  <Paragraphs>17</Paragraphs>
  <TotalTime>0</TotalTime>
  <ScaleCrop>false</ScaleCrop>
  <LinksUpToDate>false</LinksUpToDate>
  <CharactersWithSpaces>8714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2018-07-18T02:44:00Z</dcterms:created>
  <dc:creator>zaz</dc:creator>
  <cp:lastModifiedBy>dell</cp:lastModifiedBy>
  <cp:lastPrinted>2017-08-17T03:17:00Z</cp:lastPrinted>
  <dcterms:modified xsi:type="dcterms:W3CDTF">2019-10-09T05:43:08Z</dcterms:modified>
  <dc:title>招标书</dc:title>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